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8129E" w14:textId="77777777" w:rsidR="00CD748F" w:rsidRDefault="00426F7E">
      <w:pPr>
        <w:spacing w:after="25" w:line="267" w:lineRule="auto"/>
        <w:ind w:left="783" w:right="778"/>
        <w:jc w:val="center"/>
      </w:pPr>
      <w:r>
        <w:rPr>
          <w:rFonts w:cs="Cambria"/>
          <w:b/>
          <w:color w:val="163A5F"/>
          <w:sz w:val="56"/>
        </w:rPr>
        <w:t xml:space="preserve">AUDIT DE PERFORMANCE, DE </w:t>
      </w:r>
    </w:p>
    <w:p w14:paraId="709F2EE8" w14:textId="77777777" w:rsidR="00CD748F" w:rsidRDefault="00426F7E">
      <w:pPr>
        <w:spacing w:after="265" w:line="267" w:lineRule="auto"/>
        <w:ind w:left="783" w:right="781"/>
        <w:jc w:val="center"/>
      </w:pPr>
      <w:r>
        <w:rPr>
          <w:rFonts w:cs="Cambria"/>
          <w:b/>
          <w:color w:val="163A5F"/>
          <w:sz w:val="56"/>
        </w:rPr>
        <w:t>GOUVERNANCE ET DE REDDITION DES COMPTES</w:t>
      </w:r>
      <w:r>
        <w:t xml:space="preserve"> </w:t>
      </w:r>
    </w:p>
    <w:p w14:paraId="25D76F9F" w14:textId="77777777" w:rsidR="00CD748F" w:rsidRDefault="00426F7E">
      <w:pPr>
        <w:pStyle w:val="Titre1"/>
        <w:spacing w:after="315"/>
      </w:pPr>
      <w:r>
        <w:t>Gouvernement Akhannouch   2021</w:t>
      </w:r>
      <w:r>
        <w:t>–</w:t>
      </w:r>
      <w:r>
        <w:t>2026</w:t>
      </w:r>
      <w:r>
        <w:rPr>
          <w:b w:val="0"/>
          <w:sz w:val="24"/>
        </w:rPr>
        <w:t xml:space="preserve"> </w:t>
      </w:r>
    </w:p>
    <w:p w14:paraId="54E1EB78" w14:textId="77777777" w:rsidR="00CD748F" w:rsidRDefault="00426F7E">
      <w:pPr>
        <w:spacing w:after="360" w:line="275" w:lineRule="auto"/>
        <w:ind w:left="46" w:right="58" w:firstLine="0"/>
        <w:jc w:val="center"/>
      </w:pPr>
      <w:r>
        <w:rPr>
          <w:rFonts w:cs="Cambria"/>
          <w:i/>
          <w:sz w:val="32"/>
        </w:rPr>
        <w:t xml:space="preserve">Évaluation contradictoire des engagements, des dépenses, des réalisations, </w:t>
      </w:r>
      <w:r>
        <w:rPr>
          <w:rFonts w:cs="Cambria"/>
          <w:i/>
          <w:sz w:val="32"/>
        </w:rPr>
        <w:t xml:space="preserve">des résultats sociaux et économiques, des anomalies de présentation et des dossiers sensibles de gouvernance publique </w:t>
      </w:r>
    </w:p>
    <w:p w14:paraId="7A134A15" w14:textId="77777777" w:rsidR="00CD748F" w:rsidRDefault="00426F7E">
      <w:pPr>
        <w:spacing w:after="385" w:line="259" w:lineRule="auto"/>
        <w:ind w:left="65" w:right="0" w:firstLine="0"/>
        <w:jc w:val="center"/>
      </w:pPr>
      <w:r>
        <w:rPr>
          <w:rFonts w:cs="Cambria"/>
          <w:i/>
          <w:sz w:val="32"/>
        </w:rPr>
        <w:t xml:space="preserve"> </w:t>
      </w:r>
    </w:p>
    <w:p w14:paraId="510E129F" w14:textId="77777777" w:rsidR="00CD748F" w:rsidRDefault="00426F7E">
      <w:pPr>
        <w:spacing w:after="383" w:line="259" w:lineRule="auto"/>
        <w:ind w:left="65" w:right="0" w:firstLine="0"/>
        <w:jc w:val="center"/>
      </w:pPr>
      <w:r>
        <w:rPr>
          <w:rFonts w:cs="Cambria"/>
          <w:i/>
          <w:sz w:val="32"/>
        </w:rPr>
        <w:t xml:space="preserve"> </w:t>
      </w:r>
    </w:p>
    <w:p w14:paraId="23ED3581" w14:textId="77777777" w:rsidR="00CD748F" w:rsidRDefault="00426F7E">
      <w:pPr>
        <w:spacing w:after="385" w:line="259" w:lineRule="auto"/>
        <w:ind w:left="65" w:right="0" w:firstLine="0"/>
        <w:jc w:val="center"/>
      </w:pPr>
      <w:r>
        <w:rPr>
          <w:rFonts w:cs="Cambria"/>
          <w:i/>
          <w:sz w:val="32"/>
        </w:rPr>
        <w:t xml:space="preserve"> </w:t>
      </w:r>
    </w:p>
    <w:p w14:paraId="5E2A643D" w14:textId="77777777" w:rsidR="00CD748F" w:rsidRDefault="00426F7E">
      <w:pPr>
        <w:spacing w:after="385" w:line="259" w:lineRule="auto"/>
        <w:ind w:left="65" w:right="0" w:firstLine="0"/>
        <w:jc w:val="center"/>
      </w:pPr>
      <w:r>
        <w:rPr>
          <w:rFonts w:cs="Cambria"/>
          <w:i/>
          <w:sz w:val="32"/>
        </w:rPr>
        <w:t xml:space="preserve"> </w:t>
      </w:r>
    </w:p>
    <w:p w14:paraId="1B5451DA" w14:textId="77777777" w:rsidR="00CD748F" w:rsidRDefault="00426F7E">
      <w:pPr>
        <w:spacing w:after="385" w:line="259" w:lineRule="auto"/>
        <w:ind w:left="65" w:right="0" w:firstLine="0"/>
        <w:jc w:val="center"/>
      </w:pPr>
      <w:r>
        <w:rPr>
          <w:rFonts w:cs="Cambria"/>
          <w:i/>
          <w:sz w:val="32"/>
        </w:rPr>
        <w:t xml:space="preserve"> </w:t>
      </w:r>
    </w:p>
    <w:p w14:paraId="0CD4DBEF" w14:textId="77777777" w:rsidR="00CD748F" w:rsidRDefault="00426F7E">
      <w:pPr>
        <w:spacing w:after="306" w:line="259" w:lineRule="auto"/>
        <w:ind w:left="65" w:right="0" w:firstLine="0"/>
        <w:jc w:val="center"/>
      </w:pPr>
      <w:r>
        <w:rPr>
          <w:rFonts w:cs="Cambria"/>
          <w:i/>
          <w:sz w:val="32"/>
        </w:rPr>
        <w:t xml:space="preserve"> </w:t>
      </w:r>
    </w:p>
    <w:p w14:paraId="5D061B17" w14:textId="77777777" w:rsidR="00CD748F" w:rsidRDefault="00426F7E">
      <w:pPr>
        <w:spacing w:after="256" w:line="259" w:lineRule="auto"/>
        <w:ind w:left="48" w:right="0" w:firstLine="0"/>
        <w:jc w:val="center"/>
      </w:pPr>
      <w:r>
        <w:rPr>
          <w:rFonts w:cs="Cambria"/>
          <w:i/>
        </w:rPr>
        <w:t xml:space="preserve"> </w:t>
      </w:r>
    </w:p>
    <w:p w14:paraId="4E4A3532" w14:textId="77777777" w:rsidR="00CD748F" w:rsidRDefault="00426F7E">
      <w:pPr>
        <w:spacing w:after="0" w:line="259" w:lineRule="auto"/>
        <w:ind w:left="56" w:right="0" w:firstLine="0"/>
        <w:jc w:val="center"/>
      </w:pPr>
      <w:r>
        <w:rPr>
          <w:sz w:val="28"/>
        </w:rPr>
        <w:t xml:space="preserve"> </w:t>
      </w:r>
    </w:p>
    <w:p w14:paraId="0FE791F7" w14:textId="77777777" w:rsidR="00CD748F" w:rsidRDefault="00426F7E">
      <w:pPr>
        <w:spacing w:after="84" w:line="259" w:lineRule="auto"/>
        <w:ind w:left="0" w:right="4" w:firstLine="0"/>
        <w:jc w:val="center"/>
      </w:pPr>
      <w:r>
        <w:rPr>
          <w:sz w:val="28"/>
        </w:rPr>
        <w:t xml:space="preserve">Rapport indépendant </w:t>
      </w:r>
    </w:p>
    <w:p w14:paraId="41D75931" w14:textId="77777777" w:rsidR="00CD748F" w:rsidRDefault="00426F7E">
      <w:pPr>
        <w:spacing w:after="0" w:line="259" w:lineRule="auto"/>
        <w:ind w:right="2"/>
        <w:jc w:val="center"/>
      </w:pPr>
      <w:r>
        <w:rPr>
          <w:rFonts w:cs="Cambria"/>
          <w:b/>
          <w:sz w:val="40"/>
        </w:rPr>
        <w:t xml:space="preserve">Youssef El Idrissi Slimani </w:t>
      </w:r>
    </w:p>
    <w:p w14:paraId="7D8589EF" w14:textId="77777777" w:rsidR="00CD748F" w:rsidRDefault="00426F7E">
      <w:pPr>
        <w:spacing w:after="0" w:line="259" w:lineRule="auto"/>
        <w:ind w:left="0" w:right="7" w:firstLine="0"/>
        <w:jc w:val="center"/>
      </w:pPr>
      <w:r>
        <w:rPr>
          <w:rFonts w:cs="Cambria"/>
          <w:b/>
          <w:sz w:val="28"/>
        </w:rPr>
        <w:t>Arrêt documentaire : 7 octobre 2026</w:t>
      </w:r>
      <w:r>
        <w:rPr>
          <w:rFonts w:cs="Cambria"/>
          <w:b/>
        </w:rPr>
        <w:t xml:space="preserve"> </w:t>
      </w:r>
    </w:p>
    <w:p w14:paraId="07098D90" w14:textId="77777777" w:rsidR="00CD748F" w:rsidRDefault="00426F7E">
      <w:pPr>
        <w:spacing w:after="0" w:line="259" w:lineRule="auto"/>
        <w:ind w:left="2929" w:right="0" w:firstLine="0"/>
        <w:jc w:val="center"/>
      </w:pPr>
      <w:r>
        <w:t xml:space="preserve"> </w:t>
      </w:r>
      <w:r>
        <w:tab/>
        <w:t xml:space="preserve"> </w:t>
      </w:r>
    </w:p>
    <w:p w14:paraId="14888AD5" w14:textId="77777777" w:rsidR="00CD748F" w:rsidRDefault="00426F7E">
      <w:pPr>
        <w:pStyle w:val="Titre1"/>
        <w:ind w:left="0" w:right="3" w:firstLine="0"/>
      </w:pPr>
      <w:r>
        <w:rPr>
          <w:rFonts w:ascii="Calibri" w:eastAsia="Calibri" w:hAnsi="Calibri" w:cs="Calibri"/>
          <w:color w:val="163A5F"/>
          <w:sz w:val="52"/>
        </w:rPr>
        <w:t>SOMMAIRE</w:t>
      </w:r>
      <w:r>
        <w:rPr>
          <w:rFonts w:ascii="Calibri" w:eastAsia="Calibri" w:hAnsi="Calibri" w:cs="Calibri"/>
          <w:b w:val="0"/>
          <w:sz w:val="21"/>
        </w:rPr>
        <w:t xml:space="preserve"> </w:t>
      </w:r>
    </w:p>
    <w:p w14:paraId="5542C5B9" w14:textId="77777777" w:rsidR="00CD748F" w:rsidRDefault="00426F7E">
      <w:pPr>
        <w:spacing w:after="0" w:line="259" w:lineRule="auto"/>
        <w:ind w:left="0" w:right="0" w:firstLine="0"/>
        <w:jc w:val="left"/>
      </w:pPr>
      <w:r>
        <w:rPr>
          <w:rFonts w:ascii="Calibri" w:eastAsia="Calibri" w:hAnsi="Calibri" w:cs="Calibri"/>
          <w:sz w:val="21"/>
        </w:rPr>
        <w:t xml:space="preserve"> </w:t>
      </w:r>
    </w:p>
    <w:p w14:paraId="7DA83AD2" w14:textId="77777777" w:rsidR="00CD748F" w:rsidRDefault="00426F7E">
      <w:pPr>
        <w:spacing w:after="334" w:line="259" w:lineRule="auto"/>
        <w:ind w:left="-29" w:right="-26" w:firstLine="0"/>
        <w:jc w:val="left"/>
      </w:pPr>
      <w:r>
        <w:rPr>
          <w:rFonts w:ascii="Calibri" w:eastAsia="Calibri" w:hAnsi="Calibri" w:cs="Calibri"/>
          <w:noProof/>
          <w:sz w:val="22"/>
        </w:rPr>
        <mc:AlternateContent>
          <mc:Choice Requires="wpg">
            <w:drawing>
              <wp:inline distT="0" distB="0" distL="0" distR="0" wp14:anchorId="33DE87E6" wp14:editId="7B105C8A">
                <wp:extent cx="6370066" cy="12192"/>
                <wp:effectExtent l="0" t="0" r="0" b="0"/>
                <wp:docPr id="43710" name="Group 43710"/>
                <wp:cNvGraphicFramePr/>
                <a:graphic xmlns:a="http://schemas.openxmlformats.org/drawingml/2006/main">
                  <a:graphicData uri="http://schemas.microsoft.com/office/word/2010/wordprocessingGroup">
                    <wpg:wgp>
                      <wpg:cNvGrpSpPr/>
                      <wpg:grpSpPr>
                        <a:xfrm>
                          <a:off x="0" y="0"/>
                          <a:ext cx="6370066" cy="12192"/>
                          <a:chOff x="0" y="0"/>
                          <a:chExt cx="6370066" cy="12192"/>
                        </a:xfrm>
                      </wpg:grpSpPr>
                      <wps:wsp>
                        <wps:cNvPr id="55740" name="Shape 55740"/>
                        <wps:cNvSpPr/>
                        <wps:spPr>
                          <a:xfrm>
                            <a:off x="0" y="0"/>
                            <a:ext cx="6370066" cy="12192"/>
                          </a:xfrm>
                          <a:custGeom>
                            <a:avLst/>
                            <a:gdLst/>
                            <a:ahLst/>
                            <a:cxnLst/>
                            <a:rect l="0" t="0" r="0" b="0"/>
                            <a:pathLst>
                              <a:path w="6370066" h="12192">
                                <a:moveTo>
                                  <a:pt x="0" y="0"/>
                                </a:moveTo>
                                <a:lnTo>
                                  <a:pt x="6370066" y="0"/>
                                </a:lnTo>
                                <a:lnTo>
                                  <a:pt x="6370066" y="12192"/>
                                </a:lnTo>
                                <a:lnTo>
                                  <a:pt x="0" y="12192"/>
                                </a:lnTo>
                                <a:lnTo>
                                  <a:pt x="0" y="0"/>
                                </a:lnTo>
                              </a:path>
                            </a:pathLst>
                          </a:custGeom>
                          <a:ln w="0" cap="flat">
                            <a:miter lim="127000"/>
                          </a:ln>
                        </wps:spPr>
                        <wps:style>
                          <a:lnRef idx="0">
                            <a:srgbClr val="000000">
                              <a:alpha val="0"/>
                            </a:srgbClr>
                          </a:lnRef>
                          <a:fillRef idx="1">
                            <a:srgbClr val="163A5F"/>
                          </a:fillRef>
                          <a:effectRef idx="0">
                            <a:scrgbClr r="0" g="0" b="0"/>
                          </a:effectRef>
                          <a:fontRef idx="none"/>
                        </wps:style>
                        <wps:bodyPr/>
                      </wps:wsp>
                    </wpg:wgp>
                  </a:graphicData>
                </a:graphic>
              </wp:inline>
            </w:drawing>
          </mc:Choice>
          <mc:Fallback xmlns:a="http://schemas.openxmlformats.org/drawingml/2006/main">
            <w:pict>
              <v:group id="Group 43710" style="width:501.58pt;height:0.960022pt;mso-position-horizontal-relative:char;mso-position-vertical-relative:line" coordsize="63700,121">
                <v:shape id="Shape 55741" style="position:absolute;width:63700;height:121;left:0;top:0;" coordsize="6370066,12192" path="m0,0l6370066,0l6370066,12192l0,12192l0,0">
                  <v:stroke weight="0pt" endcap="flat" joinstyle="miter" miterlimit="10" on="false" color="#000000" opacity="0"/>
                  <v:fill on="true" color="#163a5f"/>
                </v:shape>
              </v:group>
            </w:pict>
          </mc:Fallback>
        </mc:AlternateContent>
      </w:r>
    </w:p>
    <w:p w14:paraId="39E58AB8" w14:textId="77777777" w:rsidR="00CD748F" w:rsidRDefault="00426F7E">
      <w:pPr>
        <w:spacing w:after="183" w:line="259" w:lineRule="auto"/>
        <w:ind w:left="-5" w:right="861"/>
        <w:jc w:val="left"/>
      </w:pPr>
      <w:r>
        <w:rPr>
          <w:rFonts w:ascii="Calibri" w:eastAsia="Calibri" w:hAnsi="Calibri" w:cs="Calibri"/>
          <w:b/>
          <w:sz w:val="26"/>
        </w:rPr>
        <w:t xml:space="preserve">AVERTISSEMENT ET AVIS D'AUDIT ....................................................................... </w:t>
      </w:r>
      <w:r>
        <w:rPr>
          <w:rFonts w:ascii="Calibri" w:eastAsia="Calibri" w:hAnsi="Calibri" w:cs="Calibri"/>
          <w:sz w:val="21"/>
        </w:rPr>
        <w:t xml:space="preserve"> </w:t>
      </w:r>
    </w:p>
    <w:p w14:paraId="3607750F" w14:textId="77777777" w:rsidR="00CD748F" w:rsidRDefault="00426F7E">
      <w:pPr>
        <w:numPr>
          <w:ilvl w:val="0"/>
          <w:numId w:val="1"/>
        </w:numPr>
        <w:spacing w:after="45" w:line="259" w:lineRule="auto"/>
        <w:ind w:right="861" w:hanging="351"/>
        <w:jc w:val="left"/>
      </w:pPr>
      <w:r>
        <w:rPr>
          <w:rFonts w:ascii="Calibri" w:eastAsia="Calibri" w:hAnsi="Calibri" w:cs="Calibri"/>
          <w:b/>
          <w:sz w:val="26"/>
        </w:rPr>
        <w:t xml:space="preserve">CONCLUSION EXÉCUTIVE — JUGEMENT GLOBAL .............................................. </w:t>
      </w:r>
      <w:r>
        <w:rPr>
          <w:rFonts w:ascii="Calibri" w:eastAsia="Calibri" w:hAnsi="Calibri" w:cs="Calibri"/>
          <w:sz w:val="21"/>
        </w:rPr>
        <w:t xml:space="preserve"> </w:t>
      </w:r>
    </w:p>
    <w:p w14:paraId="57228D79" w14:textId="77777777" w:rsidR="00CD748F" w:rsidRDefault="00426F7E">
      <w:pPr>
        <w:spacing w:after="217" w:line="259" w:lineRule="auto"/>
        <w:ind w:left="435" w:right="1119"/>
        <w:jc w:val="left"/>
      </w:pPr>
      <w:r>
        <w:rPr>
          <w:rFonts w:ascii="Calibri" w:eastAsia="Calibri" w:hAnsi="Calibri" w:cs="Calibri"/>
          <w:sz w:val="22"/>
        </w:rPr>
        <w:t>Tableau de jugement consolidé .................................................................................................</w:t>
      </w:r>
      <w:r>
        <w:rPr>
          <w:rFonts w:ascii="Calibri" w:eastAsia="Calibri" w:hAnsi="Calibri" w:cs="Calibri"/>
          <w:sz w:val="21"/>
        </w:rPr>
        <w:t xml:space="preserve"> </w:t>
      </w:r>
    </w:p>
    <w:p w14:paraId="639A50AB" w14:textId="77777777" w:rsidR="00CD748F" w:rsidRDefault="00426F7E">
      <w:pPr>
        <w:numPr>
          <w:ilvl w:val="0"/>
          <w:numId w:val="1"/>
        </w:numPr>
        <w:spacing w:after="45" w:line="259" w:lineRule="auto"/>
        <w:ind w:right="861" w:hanging="351"/>
        <w:jc w:val="left"/>
      </w:pPr>
      <w:r>
        <w:rPr>
          <w:rFonts w:ascii="Calibri" w:eastAsia="Calibri" w:hAnsi="Calibri" w:cs="Calibri"/>
          <w:b/>
          <w:sz w:val="26"/>
        </w:rPr>
        <w:t xml:space="preserve">PÉRIMÈTRE, MÉTHODOLOGIE ET RÉFÉRENTIEL D'AUDIT .................................. </w:t>
      </w:r>
      <w:r>
        <w:rPr>
          <w:rFonts w:ascii="Calibri" w:eastAsia="Calibri" w:hAnsi="Calibri" w:cs="Calibri"/>
          <w:sz w:val="21"/>
        </w:rPr>
        <w:t xml:space="preserve"> </w:t>
      </w:r>
    </w:p>
    <w:p w14:paraId="321597AC" w14:textId="77777777" w:rsidR="00CD748F" w:rsidRDefault="00426F7E">
      <w:pPr>
        <w:spacing w:after="217" w:line="259" w:lineRule="auto"/>
        <w:ind w:left="435" w:right="1119"/>
        <w:jc w:val="left"/>
      </w:pPr>
      <w:r>
        <w:rPr>
          <w:rFonts w:ascii="Calibri" w:eastAsia="Calibri" w:hAnsi="Calibri" w:cs="Calibri"/>
          <w:sz w:val="22"/>
        </w:rPr>
        <w:t>Tests de cohérence appliqués ....................................................................................................</w:t>
      </w:r>
      <w:r>
        <w:rPr>
          <w:rFonts w:ascii="Calibri" w:eastAsia="Calibri" w:hAnsi="Calibri" w:cs="Calibri"/>
          <w:sz w:val="21"/>
        </w:rPr>
        <w:t xml:space="preserve"> </w:t>
      </w:r>
    </w:p>
    <w:p w14:paraId="01687C60" w14:textId="77777777" w:rsidR="00CD748F" w:rsidRDefault="00426F7E">
      <w:pPr>
        <w:numPr>
          <w:ilvl w:val="0"/>
          <w:numId w:val="1"/>
        </w:numPr>
        <w:spacing w:after="183" w:line="259" w:lineRule="auto"/>
        <w:ind w:right="861" w:hanging="351"/>
        <w:jc w:val="left"/>
      </w:pPr>
      <w:r>
        <w:rPr>
          <w:rFonts w:ascii="Calibri" w:eastAsia="Calibri" w:hAnsi="Calibri" w:cs="Calibri"/>
          <w:b/>
          <w:sz w:val="26"/>
        </w:rPr>
        <w:t xml:space="preserve">CHRONOLOGIE ANALYTIQUE DU MANDAT ..................................................... </w:t>
      </w:r>
      <w:r>
        <w:rPr>
          <w:rFonts w:ascii="Calibri" w:eastAsia="Calibri" w:hAnsi="Calibri" w:cs="Calibri"/>
          <w:sz w:val="21"/>
        </w:rPr>
        <w:t xml:space="preserve"> </w:t>
      </w:r>
    </w:p>
    <w:p w14:paraId="20782F04" w14:textId="77777777" w:rsidR="00CD748F" w:rsidRDefault="00426F7E">
      <w:pPr>
        <w:numPr>
          <w:ilvl w:val="0"/>
          <w:numId w:val="1"/>
        </w:numPr>
        <w:spacing w:after="45" w:line="259" w:lineRule="auto"/>
        <w:ind w:right="861" w:hanging="351"/>
        <w:jc w:val="left"/>
      </w:pPr>
      <w:r>
        <w:rPr>
          <w:rFonts w:ascii="Calibri" w:eastAsia="Calibri" w:hAnsi="Calibri" w:cs="Calibri"/>
          <w:b/>
          <w:sz w:val="26"/>
        </w:rPr>
        <w:t xml:space="preserve">AUDIT CONSOLIDÉ DES DIX ENGAGEMENTS ................................................... </w:t>
      </w:r>
      <w:r>
        <w:rPr>
          <w:rFonts w:ascii="Calibri" w:eastAsia="Calibri" w:hAnsi="Calibri" w:cs="Calibri"/>
          <w:sz w:val="21"/>
        </w:rPr>
        <w:t xml:space="preserve"> </w:t>
      </w:r>
    </w:p>
    <w:p w14:paraId="3DB07283" w14:textId="77777777" w:rsidR="00CD748F" w:rsidRDefault="00426F7E">
      <w:pPr>
        <w:spacing w:after="1" w:line="328" w:lineRule="auto"/>
        <w:ind w:left="435" w:right="1119"/>
        <w:jc w:val="left"/>
      </w:pPr>
      <w:r>
        <w:rPr>
          <w:rFonts w:ascii="Calibri" w:eastAsia="Calibri" w:hAnsi="Calibri" w:cs="Calibri"/>
          <w:sz w:val="22"/>
        </w:rPr>
        <w:t>1. Un million d'emplois nets .......................................................................................................</w:t>
      </w:r>
      <w:r>
        <w:rPr>
          <w:rFonts w:ascii="Calibri" w:eastAsia="Calibri" w:hAnsi="Calibri" w:cs="Calibri"/>
          <w:sz w:val="21"/>
        </w:rPr>
        <w:t xml:space="preserve"> </w:t>
      </w:r>
      <w:r>
        <w:rPr>
          <w:rFonts w:ascii="Calibri" w:eastAsia="Calibri" w:hAnsi="Calibri" w:cs="Calibri"/>
          <w:sz w:val="22"/>
        </w:rPr>
        <w:t>2. Activité féminine &gt;30 % ..........................................................................................................</w:t>
      </w:r>
      <w:r>
        <w:rPr>
          <w:rFonts w:ascii="Calibri" w:eastAsia="Calibri" w:hAnsi="Calibri" w:cs="Calibri"/>
          <w:sz w:val="21"/>
        </w:rPr>
        <w:t xml:space="preserve"> </w:t>
      </w:r>
      <w:r>
        <w:rPr>
          <w:rFonts w:ascii="Calibri" w:eastAsia="Calibri" w:hAnsi="Calibri" w:cs="Calibri"/>
          <w:sz w:val="22"/>
        </w:rPr>
        <w:t>3. Généraliser la protection sociale ............................................................................................</w:t>
      </w:r>
      <w:r>
        <w:rPr>
          <w:rFonts w:ascii="Calibri" w:eastAsia="Calibri" w:hAnsi="Calibri" w:cs="Calibri"/>
          <w:sz w:val="21"/>
        </w:rPr>
        <w:t xml:space="preserve"> </w:t>
      </w:r>
      <w:r>
        <w:rPr>
          <w:rFonts w:ascii="Calibri" w:eastAsia="Calibri" w:hAnsi="Calibri" w:cs="Calibri"/>
          <w:sz w:val="22"/>
        </w:rPr>
        <w:t>4. Protéger et élargir la classe moyenne ....................................................................................</w:t>
      </w:r>
      <w:r>
        <w:rPr>
          <w:rFonts w:ascii="Calibri" w:eastAsia="Calibri" w:hAnsi="Calibri" w:cs="Calibri"/>
          <w:sz w:val="21"/>
        </w:rPr>
        <w:t xml:space="preserve"> </w:t>
      </w:r>
      <w:r>
        <w:rPr>
          <w:rFonts w:ascii="Calibri" w:eastAsia="Calibri" w:hAnsi="Calibri" w:cs="Calibri"/>
          <w:sz w:val="22"/>
        </w:rPr>
        <w:t>5. Top 60 éducatif ......................................................................................................</w:t>
      </w:r>
      <w:r>
        <w:rPr>
          <w:rFonts w:ascii="Calibri" w:eastAsia="Calibri" w:hAnsi="Calibri" w:cs="Calibri"/>
          <w:sz w:val="22"/>
        </w:rPr>
        <w:t>.................</w:t>
      </w:r>
      <w:r>
        <w:rPr>
          <w:rFonts w:ascii="Calibri" w:eastAsia="Calibri" w:hAnsi="Calibri" w:cs="Calibri"/>
          <w:sz w:val="21"/>
        </w:rPr>
        <w:t xml:space="preserve"> </w:t>
      </w:r>
      <w:r>
        <w:rPr>
          <w:rFonts w:ascii="Calibri" w:eastAsia="Calibri" w:hAnsi="Calibri" w:cs="Calibri"/>
          <w:sz w:val="22"/>
        </w:rPr>
        <w:t>6. Amazighe et milliard de DH en 2025 ......................................................................................</w:t>
      </w:r>
      <w:r>
        <w:rPr>
          <w:rFonts w:ascii="Calibri" w:eastAsia="Calibri" w:hAnsi="Calibri" w:cs="Calibri"/>
          <w:sz w:val="21"/>
        </w:rPr>
        <w:t xml:space="preserve"> </w:t>
      </w:r>
      <w:r>
        <w:rPr>
          <w:rFonts w:ascii="Calibri" w:eastAsia="Calibri" w:hAnsi="Calibri" w:cs="Calibri"/>
          <w:sz w:val="22"/>
        </w:rPr>
        <w:t>7. Croissance à 4 % sur cinq ans .................................................................................................</w:t>
      </w:r>
      <w:r>
        <w:rPr>
          <w:rFonts w:ascii="Calibri" w:eastAsia="Calibri" w:hAnsi="Calibri" w:cs="Calibri"/>
          <w:sz w:val="21"/>
        </w:rPr>
        <w:t xml:space="preserve"> </w:t>
      </w:r>
      <w:r>
        <w:rPr>
          <w:rFonts w:ascii="Calibri" w:eastAsia="Calibri" w:hAnsi="Calibri" w:cs="Calibri"/>
          <w:sz w:val="22"/>
        </w:rPr>
        <w:t>8. Sortir un million de familles de la pauvreté ...........................................................................</w:t>
      </w:r>
      <w:r>
        <w:rPr>
          <w:rFonts w:ascii="Calibri" w:eastAsia="Calibri" w:hAnsi="Calibri" w:cs="Calibri"/>
          <w:sz w:val="21"/>
        </w:rPr>
        <w:t xml:space="preserve"> </w:t>
      </w:r>
      <w:r>
        <w:rPr>
          <w:rFonts w:ascii="Calibri" w:eastAsia="Calibri" w:hAnsi="Calibri" w:cs="Calibri"/>
          <w:sz w:val="22"/>
        </w:rPr>
        <w:t>9. Gini sous 39 % ................................................................................................</w:t>
      </w:r>
      <w:r>
        <w:rPr>
          <w:rFonts w:ascii="Calibri" w:eastAsia="Calibri" w:hAnsi="Calibri" w:cs="Calibri"/>
          <w:sz w:val="22"/>
        </w:rPr>
        <w:t>.........................</w:t>
      </w:r>
      <w:r>
        <w:rPr>
          <w:rFonts w:ascii="Calibri" w:eastAsia="Calibri" w:hAnsi="Calibri" w:cs="Calibri"/>
          <w:sz w:val="21"/>
        </w:rPr>
        <w:t xml:space="preserve"> </w:t>
      </w:r>
    </w:p>
    <w:p w14:paraId="3525EA90" w14:textId="77777777" w:rsidR="00CD748F" w:rsidRDefault="00426F7E">
      <w:pPr>
        <w:spacing w:after="217" w:line="259" w:lineRule="auto"/>
        <w:ind w:left="435" w:right="1119"/>
        <w:jc w:val="left"/>
      </w:pPr>
      <w:r>
        <w:rPr>
          <w:rFonts w:ascii="Calibri" w:eastAsia="Calibri" w:hAnsi="Calibri" w:cs="Calibri"/>
          <w:sz w:val="22"/>
        </w:rPr>
        <w:t>10. Préscolaire universel à 4 ans ................................................................................................</w:t>
      </w:r>
      <w:r>
        <w:rPr>
          <w:rFonts w:ascii="Calibri" w:eastAsia="Calibri" w:hAnsi="Calibri" w:cs="Calibri"/>
          <w:sz w:val="21"/>
        </w:rPr>
        <w:t xml:space="preserve"> </w:t>
      </w:r>
    </w:p>
    <w:p w14:paraId="0AA465D1" w14:textId="77777777" w:rsidR="00CD748F" w:rsidRDefault="00426F7E">
      <w:pPr>
        <w:numPr>
          <w:ilvl w:val="0"/>
          <w:numId w:val="1"/>
        </w:numPr>
        <w:spacing w:after="183" w:line="259" w:lineRule="auto"/>
        <w:ind w:right="861" w:hanging="351"/>
        <w:jc w:val="left"/>
      </w:pPr>
      <w:r>
        <w:rPr>
          <w:rFonts w:ascii="Calibri" w:eastAsia="Calibri" w:hAnsi="Calibri" w:cs="Calibri"/>
          <w:b/>
          <w:sz w:val="26"/>
        </w:rPr>
        <w:t xml:space="preserve">AUDIT TRANSVERSAL DES FINANCES PUBLIQUES ET DE L'EXÉCUTION .............. </w:t>
      </w:r>
      <w:r>
        <w:rPr>
          <w:rFonts w:ascii="Calibri" w:eastAsia="Calibri" w:hAnsi="Calibri" w:cs="Calibri"/>
          <w:sz w:val="21"/>
        </w:rPr>
        <w:t xml:space="preserve"> </w:t>
      </w:r>
    </w:p>
    <w:p w14:paraId="5FE2ABAF" w14:textId="77777777" w:rsidR="00CD748F" w:rsidRDefault="00426F7E">
      <w:pPr>
        <w:numPr>
          <w:ilvl w:val="0"/>
          <w:numId w:val="1"/>
        </w:numPr>
        <w:spacing w:after="183" w:line="259" w:lineRule="auto"/>
        <w:ind w:right="861" w:hanging="351"/>
        <w:jc w:val="left"/>
      </w:pPr>
      <w:r>
        <w:rPr>
          <w:rFonts w:ascii="Calibri" w:eastAsia="Calibri" w:hAnsi="Calibri" w:cs="Calibri"/>
          <w:b/>
          <w:sz w:val="26"/>
        </w:rPr>
        <w:t xml:space="preserve">EMPLOI, CHÔMAGE ET STRUCTURE DU MARCHÉ DU TRAVAIL ........................ </w:t>
      </w:r>
      <w:r>
        <w:rPr>
          <w:rFonts w:ascii="Calibri" w:eastAsia="Calibri" w:hAnsi="Calibri" w:cs="Calibri"/>
          <w:sz w:val="21"/>
        </w:rPr>
        <w:t xml:space="preserve"> </w:t>
      </w:r>
    </w:p>
    <w:p w14:paraId="15E15196" w14:textId="77777777" w:rsidR="00CD748F" w:rsidRDefault="00426F7E">
      <w:pPr>
        <w:numPr>
          <w:ilvl w:val="0"/>
          <w:numId w:val="1"/>
        </w:numPr>
        <w:spacing w:after="18" w:line="399" w:lineRule="auto"/>
        <w:ind w:right="861" w:hanging="351"/>
        <w:jc w:val="left"/>
      </w:pPr>
      <w:r>
        <w:rPr>
          <w:rFonts w:ascii="Calibri" w:eastAsia="Calibri" w:hAnsi="Calibri" w:cs="Calibri"/>
          <w:b/>
          <w:sz w:val="26"/>
        </w:rPr>
        <w:t xml:space="preserve">AGRICULTURE, SÉCHERESSE ET TRANSITION RURALE ..................................... </w:t>
      </w:r>
      <w:r>
        <w:rPr>
          <w:rFonts w:ascii="Calibri" w:eastAsia="Calibri" w:hAnsi="Calibri" w:cs="Calibri"/>
          <w:sz w:val="21"/>
        </w:rPr>
        <w:t xml:space="preserve"> </w:t>
      </w:r>
      <w:r>
        <w:rPr>
          <w:rFonts w:ascii="Calibri" w:eastAsia="Calibri" w:hAnsi="Calibri" w:cs="Calibri"/>
          <w:b/>
          <w:sz w:val="26"/>
        </w:rPr>
        <w:t xml:space="preserve">VIII. SUBVENTIONS AU CHEPTEL, IMPORTATIONS OVINES ET « FRACHKHIA » ...... </w:t>
      </w:r>
      <w:r>
        <w:rPr>
          <w:rFonts w:ascii="Calibri" w:eastAsia="Calibri" w:hAnsi="Calibri" w:cs="Calibri"/>
          <w:sz w:val="21"/>
        </w:rPr>
        <w:t xml:space="preserve"> </w:t>
      </w:r>
    </w:p>
    <w:p w14:paraId="0003A862" w14:textId="77777777" w:rsidR="00CD748F" w:rsidRDefault="00426F7E">
      <w:pPr>
        <w:numPr>
          <w:ilvl w:val="0"/>
          <w:numId w:val="2"/>
        </w:numPr>
        <w:spacing w:after="183" w:line="259" w:lineRule="auto"/>
        <w:ind w:right="861" w:hanging="341"/>
        <w:jc w:val="left"/>
      </w:pPr>
      <w:r>
        <w:rPr>
          <w:rFonts w:ascii="Calibri" w:eastAsia="Calibri" w:hAnsi="Calibri" w:cs="Calibri"/>
          <w:b/>
          <w:sz w:val="26"/>
        </w:rPr>
        <w:t xml:space="preserve">DOSSIER BERRECHID / ABED BADEL — NIVEAU DE PREUVE ET PISTES D'ENQUÊTE </w:t>
      </w:r>
      <w:r>
        <w:rPr>
          <w:rFonts w:ascii="Calibri" w:eastAsia="Calibri" w:hAnsi="Calibri" w:cs="Calibri"/>
          <w:b/>
          <w:sz w:val="26"/>
        </w:rPr>
        <w:tab/>
      </w:r>
      <w:r>
        <w:rPr>
          <w:rFonts w:ascii="Calibri" w:eastAsia="Calibri" w:hAnsi="Calibri" w:cs="Calibri"/>
          <w:sz w:val="21"/>
        </w:rPr>
        <w:t xml:space="preserve"> </w:t>
      </w:r>
    </w:p>
    <w:p w14:paraId="275F769E" w14:textId="77777777" w:rsidR="00CD748F" w:rsidRDefault="00426F7E">
      <w:pPr>
        <w:numPr>
          <w:ilvl w:val="0"/>
          <w:numId w:val="2"/>
        </w:numPr>
        <w:spacing w:after="23" w:line="259" w:lineRule="auto"/>
        <w:ind w:right="861" w:hanging="341"/>
        <w:jc w:val="left"/>
      </w:pPr>
      <w:r>
        <w:rPr>
          <w:rFonts w:ascii="Calibri" w:eastAsia="Calibri" w:hAnsi="Calibri" w:cs="Calibri"/>
          <w:b/>
          <w:sz w:val="26"/>
        </w:rPr>
        <w:t xml:space="preserve">DOSSIER MOHAMMADI TOUHTOUH — DISTINGUER POLÉMIQUE POLITIQUE ET FAIT </w:t>
      </w:r>
    </w:p>
    <w:p w14:paraId="14565C07" w14:textId="77777777" w:rsidR="00CD748F" w:rsidRDefault="00426F7E">
      <w:pPr>
        <w:spacing w:after="183" w:line="259" w:lineRule="auto"/>
        <w:ind w:left="-5" w:right="861"/>
        <w:jc w:val="left"/>
      </w:pPr>
      <w:r>
        <w:rPr>
          <w:rFonts w:ascii="Calibri" w:eastAsia="Calibri" w:hAnsi="Calibri" w:cs="Calibri"/>
          <w:b/>
          <w:sz w:val="26"/>
        </w:rPr>
        <w:t xml:space="preserve">FINANCIER </w:t>
      </w:r>
      <w:r>
        <w:rPr>
          <w:rFonts w:ascii="Calibri" w:eastAsia="Calibri" w:hAnsi="Calibri" w:cs="Calibri"/>
          <w:b/>
          <w:sz w:val="26"/>
        </w:rPr>
        <w:t xml:space="preserve">.......................................................................................................... </w:t>
      </w:r>
      <w:r>
        <w:rPr>
          <w:rFonts w:ascii="Calibri" w:eastAsia="Calibri" w:hAnsi="Calibri" w:cs="Calibri"/>
          <w:sz w:val="21"/>
        </w:rPr>
        <w:t xml:space="preserve"> </w:t>
      </w:r>
    </w:p>
    <w:p w14:paraId="50152490" w14:textId="77777777" w:rsidR="00CD748F" w:rsidRDefault="00426F7E">
      <w:pPr>
        <w:numPr>
          <w:ilvl w:val="0"/>
          <w:numId w:val="2"/>
        </w:numPr>
        <w:spacing w:after="183" w:line="259" w:lineRule="auto"/>
        <w:ind w:right="861" w:hanging="341"/>
        <w:jc w:val="left"/>
      </w:pPr>
      <w:r>
        <w:rPr>
          <w:rFonts w:ascii="Calibri" w:eastAsia="Calibri" w:hAnsi="Calibri" w:cs="Calibri"/>
          <w:b/>
          <w:sz w:val="26"/>
        </w:rPr>
        <w:t xml:space="preserve">AL HAOUZ — AUDIT FINANCIER, PHYSIQUE ET TERRITORIAL .......................... </w:t>
      </w:r>
      <w:r>
        <w:rPr>
          <w:rFonts w:ascii="Calibri" w:eastAsia="Calibri" w:hAnsi="Calibri" w:cs="Calibri"/>
          <w:sz w:val="21"/>
        </w:rPr>
        <w:t xml:space="preserve"> </w:t>
      </w:r>
    </w:p>
    <w:p w14:paraId="56288A5B" w14:textId="77777777" w:rsidR="00CD748F" w:rsidRDefault="00426F7E">
      <w:pPr>
        <w:numPr>
          <w:ilvl w:val="0"/>
          <w:numId w:val="2"/>
        </w:numPr>
        <w:spacing w:after="183" w:line="399" w:lineRule="auto"/>
        <w:ind w:right="861" w:hanging="341"/>
        <w:jc w:val="left"/>
      </w:pPr>
      <w:r>
        <w:rPr>
          <w:rFonts w:ascii="Calibri" w:eastAsia="Calibri" w:hAnsi="Calibri" w:cs="Calibri"/>
          <w:b/>
          <w:sz w:val="26"/>
        </w:rPr>
        <w:t xml:space="preserve">SANTÉ — INFRASTRUCTURES, AMO ET CAPACITÉ EFFECTIVE ......................... </w:t>
      </w:r>
      <w:r>
        <w:rPr>
          <w:rFonts w:ascii="Calibri" w:eastAsia="Calibri" w:hAnsi="Calibri" w:cs="Calibri"/>
          <w:sz w:val="21"/>
        </w:rPr>
        <w:t xml:space="preserve"> </w:t>
      </w:r>
      <w:r>
        <w:rPr>
          <w:rFonts w:ascii="Calibri" w:eastAsia="Calibri" w:hAnsi="Calibri" w:cs="Calibri"/>
          <w:b/>
          <w:sz w:val="26"/>
        </w:rPr>
        <w:t xml:space="preserve">XIII. ÉDUCATION, PRÉSCOLAIRE ET CAPITAL HUMAIN .......................................... </w:t>
      </w:r>
      <w:r>
        <w:rPr>
          <w:rFonts w:ascii="Calibri" w:eastAsia="Calibri" w:hAnsi="Calibri" w:cs="Calibri"/>
          <w:sz w:val="21"/>
        </w:rPr>
        <w:t xml:space="preserve"> </w:t>
      </w:r>
    </w:p>
    <w:p w14:paraId="6C50A5B7" w14:textId="77777777" w:rsidR="00CD748F" w:rsidRDefault="00426F7E">
      <w:pPr>
        <w:numPr>
          <w:ilvl w:val="0"/>
          <w:numId w:val="3"/>
        </w:numPr>
        <w:spacing w:after="183" w:line="259" w:lineRule="auto"/>
        <w:ind w:right="861" w:hanging="495"/>
        <w:jc w:val="left"/>
      </w:pPr>
      <w:r>
        <w:rPr>
          <w:rFonts w:ascii="Calibri" w:eastAsia="Calibri" w:hAnsi="Calibri" w:cs="Calibri"/>
          <w:b/>
          <w:sz w:val="26"/>
        </w:rPr>
        <w:t xml:space="preserve">EAU — SÉCHERESSE, DESSALEMENT, BARRAGES ET GOUVERNANCE ............ </w:t>
      </w:r>
      <w:r>
        <w:rPr>
          <w:rFonts w:ascii="Calibri" w:eastAsia="Calibri" w:hAnsi="Calibri" w:cs="Calibri"/>
          <w:sz w:val="21"/>
        </w:rPr>
        <w:t xml:space="preserve"> </w:t>
      </w:r>
    </w:p>
    <w:p w14:paraId="6CF24375" w14:textId="77777777" w:rsidR="00CD748F" w:rsidRDefault="00426F7E">
      <w:pPr>
        <w:numPr>
          <w:ilvl w:val="0"/>
          <w:numId w:val="3"/>
        </w:numPr>
        <w:spacing w:after="23" w:line="259" w:lineRule="auto"/>
        <w:ind w:right="861" w:hanging="495"/>
        <w:jc w:val="left"/>
      </w:pPr>
      <w:r>
        <w:rPr>
          <w:rFonts w:ascii="Calibri" w:eastAsia="Calibri" w:hAnsi="Calibri" w:cs="Calibri"/>
          <w:b/>
          <w:sz w:val="26"/>
        </w:rPr>
        <w:t xml:space="preserve">TOURISME — SUCCÈS RÉEL, MAIS PERFORMANCE À LIRE JUSQU'AU RENDEMENT </w:t>
      </w:r>
    </w:p>
    <w:p w14:paraId="2512C196" w14:textId="77777777" w:rsidR="00CD748F" w:rsidRDefault="00426F7E">
      <w:pPr>
        <w:spacing w:after="183" w:line="259" w:lineRule="auto"/>
        <w:ind w:left="-5" w:right="861"/>
        <w:jc w:val="left"/>
      </w:pPr>
      <w:r>
        <w:rPr>
          <w:rFonts w:ascii="Calibri" w:eastAsia="Calibri" w:hAnsi="Calibri" w:cs="Calibri"/>
          <w:b/>
          <w:sz w:val="26"/>
        </w:rPr>
        <w:t xml:space="preserve">ÉCONOMIQUE ..................................................................................................... </w:t>
      </w:r>
      <w:r>
        <w:rPr>
          <w:rFonts w:ascii="Calibri" w:eastAsia="Calibri" w:hAnsi="Calibri" w:cs="Calibri"/>
          <w:sz w:val="21"/>
        </w:rPr>
        <w:t xml:space="preserve"> </w:t>
      </w:r>
    </w:p>
    <w:p w14:paraId="5B99687D" w14:textId="77777777" w:rsidR="00CD748F" w:rsidRDefault="00426F7E">
      <w:pPr>
        <w:numPr>
          <w:ilvl w:val="0"/>
          <w:numId w:val="3"/>
        </w:numPr>
        <w:spacing w:after="0" w:line="412" w:lineRule="auto"/>
        <w:ind w:right="861" w:hanging="495"/>
        <w:jc w:val="left"/>
      </w:pPr>
      <w:r>
        <w:rPr>
          <w:rFonts w:ascii="Calibri" w:eastAsia="Calibri" w:hAnsi="Calibri" w:cs="Calibri"/>
          <w:b/>
          <w:sz w:val="26"/>
        </w:rPr>
        <w:t xml:space="preserve">ÉNERGIES RENOUVELABLES ET TRANSITION ÉNERGÉTIQUE .......................... </w:t>
      </w:r>
      <w:r>
        <w:rPr>
          <w:rFonts w:ascii="Calibri" w:eastAsia="Calibri" w:hAnsi="Calibri" w:cs="Calibri"/>
          <w:sz w:val="21"/>
        </w:rPr>
        <w:t xml:space="preserve"> </w:t>
      </w:r>
      <w:r>
        <w:rPr>
          <w:rFonts w:ascii="Calibri" w:eastAsia="Calibri" w:hAnsi="Calibri" w:cs="Calibri"/>
          <w:b/>
          <w:sz w:val="26"/>
        </w:rPr>
        <w:t xml:space="preserve">XVII. HYDROGÈNE VERT — </w:t>
      </w:r>
      <w:r>
        <w:rPr>
          <w:rFonts w:ascii="Calibri" w:eastAsia="Calibri" w:hAnsi="Calibri" w:cs="Calibri"/>
          <w:b/>
          <w:sz w:val="26"/>
        </w:rPr>
        <w:t xml:space="preserve">PIPELINE D'INVESTISSEMENTS ET NON ACTIFS RÉALISÉS </w:t>
      </w:r>
      <w:r>
        <w:rPr>
          <w:rFonts w:ascii="Calibri" w:eastAsia="Calibri" w:hAnsi="Calibri" w:cs="Calibri"/>
          <w:b/>
          <w:sz w:val="26"/>
        </w:rPr>
        <w:tab/>
      </w:r>
      <w:r>
        <w:rPr>
          <w:rFonts w:ascii="Calibri" w:eastAsia="Calibri" w:hAnsi="Calibri" w:cs="Calibri"/>
          <w:sz w:val="21"/>
        </w:rPr>
        <w:t xml:space="preserve"> </w:t>
      </w:r>
    </w:p>
    <w:p w14:paraId="274A6AD0" w14:textId="77777777" w:rsidR="00CD748F" w:rsidRDefault="00426F7E">
      <w:pPr>
        <w:numPr>
          <w:ilvl w:val="0"/>
          <w:numId w:val="4"/>
        </w:numPr>
        <w:spacing w:after="183" w:line="259" w:lineRule="auto"/>
        <w:ind w:right="861" w:hanging="633"/>
        <w:jc w:val="left"/>
      </w:pPr>
      <w:r>
        <w:rPr>
          <w:rFonts w:ascii="Calibri" w:eastAsia="Calibri" w:hAnsi="Calibri" w:cs="Calibri"/>
          <w:b/>
          <w:sz w:val="26"/>
        </w:rPr>
        <w:t xml:space="preserve">TRANSFORMATION NUMÉRIQUE, 5G, NUMÉRISATION DE L'ÉTAT ET IA ...... </w:t>
      </w:r>
      <w:r>
        <w:rPr>
          <w:rFonts w:ascii="Calibri" w:eastAsia="Calibri" w:hAnsi="Calibri" w:cs="Calibri"/>
          <w:sz w:val="21"/>
        </w:rPr>
        <w:t xml:space="preserve"> </w:t>
      </w:r>
    </w:p>
    <w:p w14:paraId="6CF07A83" w14:textId="77777777" w:rsidR="00CD748F" w:rsidRDefault="00426F7E">
      <w:pPr>
        <w:numPr>
          <w:ilvl w:val="0"/>
          <w:numId w:val="4"/>
        </w:numPr>
        <w:spacing w:after="183" w:line="259" w:lineRule="auto"/>
        <w:ind w:right="861" w:hanging="633"/>
        <w:jc w:val="left"/>
      </w:pPr>
      <w:r>
        <w:rPr>
          <w:rFonts w:ascii="Calibri" w:eastAsia="Calibri" w:hAnsi="Calibri" w:cs="Calibri"/>
          <w:b/>
          <w:sz w:val="26"/>
        </w:rPr>
        <w:t xml:space="preserve">INDUSTRIE, INVESTISSEMENT ET CHARTE DE L'INVESTISSEMENT .................. </w:t>
      </w:r>
      <w:r>
        <w:rPr>
          <w:rFonts w:ascii="Calibri" w:eastAsia="Calibri" w:hAnsi="Calibri" w:cs="Calibri"/>
          <w:sz w:val="21"/>
        </w:rPr>
        <w:t xml:space="preserve"> </w:t>
      </w:r>
    </w:p>
    <w:p w14:paraId="6098E255" w14:textId="77777777" w:rsidR="00CD748F" w:rsidRDefault="00426F7E">
      <w:pPr>
        <w:numPr>
          <w:ilvl w:val="0"/>
          <w:numId w:val="4"/>
        </w:numPr>
        <w:spacing w:after="0" w:line="399" w:lineRule="auto"/>
        <w:ind w:right="861" w:hanging="633"/>
        <w:jc w:val="left"/>
      </w:pPr>
      <w:r>
        <w:rPr>
          <w:rFonts w:ascii="Calibri" w:eastAsia="Calibri" w:hAnsi="Calibri" w:cs="Calibri"/>
          <w:b/>
          <w:sz w:val="26"/>
        </w:rPr>
        <w:t xml:space="preserve">HYDROCARBURES, CONCURRENCE ET TRANSMISSION DE L'INFLATION ......... </w:t>
      </w:r>
      <w:r>
        <w:rPr>
          <w:rFonts w:ascii="Calibri" w:eastAsia="Calibri" w:hAnsi="Calibri" w:cs="Calibri"/>
          <w:sz w:val="21"/>
        </w:rPr>
        <w:t xml:space="preserve"> </w:t>
      </w:r>
      <w:r>
        <w:rPr>
          <w:rFonts w:ascii="Calibri" w:eastAsia="Calibri" w:hAnsi="Calibri" w:cs="Calibri"/>
          <w:b/>
          <w:sz w:val="26"/>
        </w:rPr>
        <w:t xml:space="preserve">XXI. FISCALITÉ, DÉPENSES FISCALES ET COMPENSATION ...................................... </w:t>
      </w:r>
      <w:r>
        <w:rPr>
          <w:rFonts w:ascii="Calibri" w:eastAsia="Calibri" w:hAnsi="Calibri" w:cs="Calibri"/>
          <w:sz w:val="21"/>
        </w:rPr>
        <w:t xml:space="preserve"> </w:t>
      </w:r>
    </w:p>
    <w:p w14:paraId="642FC28D" w14:textId="77777777" w:rsidR="00CD748F" w:rsidRDefault="00426F7E">
      <w:pPr>
        <w:numPr>
          <w:ilvl w:val="0"/>
          <w:numId w:val="5"/>
        </w:numPr>
        <w:spacing w:after="23" w:line="259" w:lineRule="auto"/>
        <w:ind w:right="431" w:hanging="554"/>
        <w:jc w:val="left"/>
      </w:pPr>
      <w:r>
        <w:rPr>
          <w:rFonts w:ascii="Calibri" w:eastAsia="Calibri" w:hAnsi="Calibri" w:cs="Calibri"/>
          <w:b/>
          <w:sz w:val="26"/>
        </w:rPr>
        <w:t xml:space="preserve">ÉTABLISSEMENTS ET ENTREPRISES PUBLICS, PPP ET GESTION DU PATRIMOINE DE </w:t>
      </w:r>
    </w:p>
    <w:p w14:paraId="174775BD" w14:textId="77777777" w:rsidR="00CD748F" w:rsidRDefault="00426F7E">
      <w:pPr>
        <w:spacing w:after="183" w:line="259" w:lineRule="auto"/>
        <w:ind w:left="-5" w:right="861"/>
        <w:jc w:val="left"/>
      </w:pPr>
      <w:r>
        <w:rPr>
          <w:rFonts w:ascii="Calibri" w:eastAsia="Calibri" w:hAnsi="Calibri" w:cs="Calibri"/>
          <w:b/>
          <w:sz w:val="26"/>
        </w:rPr>
        <w:t xml:space="preserve">L'ÉTAT ................................................................................................................. </w:t>
      </w:r>
      <w:r>
        <w:rPr>
          <w:rFonts w:ascii="Calibri" w:eastAsia="Calibri" w:hAnsi="Calibri" w:cs="Calibri"/>
          <w:sz w:val="21"/>
        </w:rPr>
        <w:t xml:space="preserve"> </w:t>
      </w:r>
    </w:p>
    <w:p w14:paraId="2B7C9752" w14:textId="77777777" w:rsidR="00CD748F" w:rsidRDefault="00426F7E">
      <w:pPr>
        <w:numPr>
          <w:ilvl w:val="0"/>
          <w:numId w:val="5"/>
        </w:numPr>
        <w:spacing w:after="0" w:line="405" w:lineRule="auto"/>
        <w:ind w:right="431" w:hanging="554"/>
        <w:jc w:val="left"/>
      </w:pPr>
      <w:r>
        <w:rPr>
          <w:rFonts w:ascii="Calibri" w:eastAsia="Calibri" w:hAnsi="Calibri" w:cs="Calibri"/>
          <w:b/>
          <w:sz w:val="26"/>
        </w:rPr>
        <w:t xml:space="preserve">FONCIER PUBLIC ET CAS « LYCÉE OCÉAN » .................................................. </w:t>
      </w:r>
      <w:r>
        <w:rPr>
          <w:rFonts w:ascii="Calibri" w:eastAsia="Calibri" w:hAnsi="Calibri" w:cs="Calibri"/>
          <w:sz w:val="21"/>
        </w:rPr>
        <w:t xml:space="preserve"> </w:t>
      </w:r>
      <w:r>
        <w:rPr>
          <w:rFonts w:ascii="Calibri" w:eastAsia="Calibri" w:hAnsi="Calibri" w:cs="Calibri"/>
          <w:b/>
          <w:sz w:val="26"/>
        </w:rPr>
        <w:t xml:space="preserve">XXIV. TRANSPORT, CONNECTIVITÉ ET INFRASTRUCTURES ................................... </w:t>
      </w:r>
      <w:r>
        <w:rPr>
          <w:rFonts w:ascii="Calibri" w:eastAsia="Calibri" w:hAnsi="Calibri" w:cs="Calibri"/>
          <w:sz w:val="21"/>
        </w:rPr>
        <w:t xml:space="preserve"> </w:t>
      </w:r>
      <w:r>
        <w:rPr>
          <w:rFonts w:ascii="Calibri" w:eastAsia="Calibri" w:hAnsi="Calibri" w:cs="Calibri"/>
          <w:b/>
          <w:sz w:val="26"/>
        </w:rPr>
        <w:t xml:space="preserve">XXV. COMMERCE EXTÉRIEUR, TOURISME, MRE ET CAPACITÉ À FINANCER LE MODÈLE </w:t>
      </w:r>
      <w:r>
        <w:rPr>
          <w:rFonts w:ascii="Calibri" w:eastAsia="Calibri" w:hAnsi="Calibri" w:cs="Calibri"/>
          <w:b/>
          <w:sz w:val="26"/>
        </w:rPr>
        <w:tab/>
      </w:r>
      <w:r>
        <w:rPr>
          <w:rFonts w:ascii="Calibri" w:eastAsia="Calibri" w:hAnsi="Calibri" w:cs="Calibri"/>
          <w:sz w:val="21"/>
        </w:rPr>
        <w:t xml:space="preserve"> </w:t>
      </w:r>
    </w:p>
    <w:p w14:paraId="65C5FF73" w14:textId="77777777" w:rsidR="00CD748F" w:rsidRDefault="00426F7E">
      <w:pPr>
        <w:numPr>
          <w:ilvl w:val="0"/>
          <w:numId w:val="6"/>
        </w:numPr>
        <w:spacing w:after="183" w:line="259" w:lineRule="auto"/>
        <w:ind w:right="861" w:hanging="777"/>
        <w:jc w:val="left"/>
      </w:pPr>
      <w:r>
        <w:rPr>
          <w:rFonts w:ascii="Calibri" w:eastAsia="Calibri" w:hAnsi="Calibri" w:cs="Calibri"/>
          <w:b/>
          <w:sz w:val="26"/>
        </w:rPr>
        <w:t xml:space="preserve">TOURISME, CULTURE, ARTISANAT ET DÉVELOPPEMENT TERRITORIAL ........ </w:t>
      </w:r>
      <w:r>
        <w:rPr>
          <w:rFonts w:ascii="Calibri" w:eastAsia="Calibri" w:hAnsi="Calibri" w:cs="Calibri"/>
          <w:sz w:val="21"/>
        </w:rPr>
        <w:t xml:space="preserve"> </w:t>
      </w:r>
    </w:p>
    <w:p w14:paraId="77E5D6BC" w14:textId="77777777" w:rsidR="00CD748F" w:rsidRDefault="00426F7E">
      <w:pPr>
        <w:numPr>
          <w:ilvl w:val="0"/>
          <w:numId w:val="6"/>
        </w:numPr>
        <w:spacing w:after="183" w:line="259" w:lineRule="auto"/>
        <w:ind w:right="861" w:hanging="777"/>
        <w:jc w:val="left"/>
      </w:pPr>
      <w:r>
        <w:rPr>
          <w:rFonts w:ascii="Calibri" w:eastAsia="Calibri" w:hAnsi="Calibri" w:cs="Calibri"/>
          <w:b/>
          <w:sz w:val="26"/>
        </w:rPr>
        <w:t xml:space="preserve">DIPLOMATIE ÉCONOMIQUE ET POSITIONNEMENT INTERNATIONAL .......... </w:t>
      </w:r>
      <w:r>
        <w:rPr>
          <w:rFonts w:ascii="Calibri" w:eastAsia="Calibri" w:hAnsi="Calibri" w:cs="Calibri"/>
          <w:sz w:val="21"/>
        </w:rPr>
        <w:t xml:space="preserve"> </w:t>
      </w:r>
    </w:p>
    <w:p w14:paraId="476BE315" w14:textId="77777777" w:rsidR="00CD748F" w:rsidRDefault="00426F7E">
      <w:pPr>
        <w:numPr>
          <w:ilvl w:val="0"/>
          <w:numId w:val="6"/>
        </w:numPr>
        <w:spacing w:after="183" w:line="259" w:lineRule="auto"/>
        <w:ind w:right="861" w:hanging="777"/>
        <w:jc w:val="left"/>
      </w:pPr>
      <w:r>
        <w:rPr>
          <w:rFonts w:ascii="Calibri" w:eastAsia="Calibri" w:hAnsi="Calibri" w:cs="Calibri"/>
          <w:b/>
          <w:sz w:val="26"/>
        </w:rPr>
        <w:t xml:space="preserve">GEN Z, CONTESTATION SOCIALE ET CAPITAL DE CONFIANCE..................... </w:t>
      </w:r>
      <w:r>
        <w:rPr>
          <w:rFonts w:ascii="Calibri" w:eastAsia="Calibri" w:hAnsi="Calibri" w:cs="Calibri"/>
          <w:sz w:val="21"/>
        </w:rPr>
        <w:t xml:space="preserve"> </w:t>
      </w:r>
    </w:p>
    <w:p w14:paraId="10F36EFA" w14:textId="77777777" w:rsidR="00CD748F" w:rsidRDefault="00426F7E">
      <w:pPr>
        <w:numPr>
          <w:ilvl w:val="0"/>
          <w:numId w:val="6"/>
        </w:numPr>
        <w:spacing w:after="183" w:line="259" w:lineRule="auto"/>
        <w:ind w:right="861" w:hanging="777"/>
        <w:jc w:val="left"/>
      </w:pPr>
      <w:r>
        <w:rPr>
          <w:rFonts w:ascii="Calibri" w:eastAsia="Calibri" w:hAnsi="Calibri" w:cs="Calibri"/>
          <w:b/>
          <w:sz w:val="26"/>
        </w:rPr>
        <w:t xml:space="preserve">DISPARITÉS TERRITORIALES ET ÉQUITÉ DU MODÈLE ................................... </w:t>
      </w:r>
      <w:r>
        <w:rPr>
          <w:rFonts w:ascii="Calibri" w:eastAsia="Calibri" w:hAnsi="Calibri" w:cs="Calibri"/>
          <w:sz w:val="21"/>
        </w:rPr>
        <w:t xml:space="preserve"> </w:t>
      </w:r>
    </w:p>
    <w:p w14:paraId="65F53832" w14:textId="77777777" w:rsidR="00CD748F" w:rsidRDefault="00426F7E">
      <w:pPr>
        <w:numPr>
          <w:ilvl w:val="0"/>
          <w:numId w:val="6"/>
        </w:numPr>
        <w:spacing w:after="183" w:line="259" w:lineRule="auto"/>
        <w:ind w:right="861" w:hanging="777"/>
        <w:jc w:val="left"/>
      </w:pPr>
      <w:r>
        <w:rPr>
          <w:rFonts w:ascii="Calibri" w:eastAsia="Calibri" w:hAnsi="Calibri" w:cs="Calibri"/>
          <w:b/>
          <w:sz w:val="26"/>
        </w:rPr>
        <w:t xml:space="preserve">SUIVI DES RECOMMANDATIONS ET RESPONSABILITÉ ADMINISTRATIVE ...... </w:t>
      </w:r>
      <w:r>
        <w:rPr>
          <w:rFonts w:ascii="Calibri" w:eastAsia="Calibri" w:hAnsi="Calibri" w:cs="Calibri"/>
          <w:sz w:val="21"/>
        </w:rPr>
        <w:t xml:space="preserve"> </w:t>
      </w:r>
    </w:p>
    <w:p w14:paraId="0B79CC08" w14:textId="77777777" w:rsidR="00CD748F" w:rsidRDefault="00426F7E">
      <w:pPr>
        <w:numPr>
          <w:ilvl w:val="0"/>
          <w:numId w:val="6"/>
        </w:numPr>
        <w:spacing w:after="183" w:line="259" w:lineRule="auto"/>
        <w:ind w:right="861" w:hanging="777"/>
        <w:jc w:val="left"/>
      </w:pPr>
      <w:r>
        <w:rPr>
          <w:rFonts w:ascii="Calibri" w:eastAsia="Calibri" w:hAnsi="Calibri" w:cs="Calibri"/>
          <w:b/>
          <w:sz w:val="26"/>
        </w:rPr>
        <w:t xml:space="preserve">MATRICE MAÎTRE — ANOMALIES, RISQUES ET PIÈCES À EXIGER ................. </w:t>
      </w:r>
      <w:r>
        <w:rPr>
          <w:rFonts w:ascii="Calibri" w:eastAsia="Calibri" w:hAnsi="Calibri" w:cs="Calibri"/>
          <w:sz w:val="21"/>
        </w:rPr>
        <w:t xml:space="preserve"> </w:t>
      </w:r>
    </w:p>
    <w:p w14:paraId="5A94F7AA" w14:textId="77777777" w:rsidR="00CD748F" w:rsidRDefault="00426F7E">
      <w:pPr>
        <w:numPr>
          <w:ilvl w:val="0"/>
          <w:numId w:val="6"/>
        </w:numPr>
        <w:spacing w:after="183" w:line="259" w:lineRule="auto"/>
        <w:ind w:right="861" w:hanging="777"/>
        <w:jc w:val="left"/>
      </w:pPr>
      <w:r>
        <w:rPr>
          <w:rFonts w:ascii="Calibri" w:eastAsia="Calibri" w:hAnsi="Calibri" w:cs="Calibri"/>
          <w:b/>
          <w:sz w:val="26"/>
        </w:rPr>
        <w:t xml:space="preserve">PROGRAMME D'ENQUÊTE ET QUESTIONS À POSER ................................... </w:t>
      </w:r>
      <w:r>
        <w:rPr>
          <w:rFonts w:ascii="Calibri" w:eastAsia="Calibri" w:hAnsi="Calibri" w:cs="Calibri"/>
          <w:sz w:val="21"/>
        </w:rPr>
        <w:t xml:space="preserve"> </w:t>
      </w:r>
    </w:p>
    <w:p w14:paraId="1FEE2DC5" w14:textId="77777777" w:rsidR="00CD748F" w:rsidRDefault="00426F7E">
      <w:pPr>
        <w:numPr>
          <w:ilvl w:val="0"/>
          <w:numId w:val="6"/>
        </w:numPr>
        <w:spacing w:after="183" w:line="259" w:lineRule="auto"/>
        <w:ind w:right="861" w:hanging="777"/>
        <w:jc w:val="left"/>
      </w:pPr>
      <w:r>
        <w:rPr>
          <w:rFonts w:ascii="Calibri" w:eastAsia="Calibri" w:hAnsi="Calibri" w:cs="Calibri"/>
          <w:b/>
          <w:sz w:val="26"/>
        </w:rPr>
        <w:t xml:space="preserve">OPINION FINALE D'AUDIT ......................................................................... </w:t>
      </w:r>
      <w:r>
        <w:rPr>
          <w:rFonts w:ascii="Calibri" w:eastAsia="Calibri" w:hAnsi="Calibri" w:cs="Calibri"/>
          <w:sz w:val="21"/>
        </w:rPr>
        <w:t xml:space="preserve"> </w:t>
      </w:r>
    </w:p>
    <w:p w14:paraId="0F5E9F75" w14:textId="77777777" w:rsidR="00CD748F" w:rsidRDefault="00426F7E">
      <w:pPr>
        <w:spacing w:after="183" w:line="259" w:lineRule="auto"/>
        <w:ind w:left="-5" w:right="861"/>
        <w:jc w:val="left"/>
      </w:pPr>
      <w:r>
        <w:rPr>
          <w:rFonts w:ascii="Calibri" w:eastAsia="Calibri" w:hAnsi="Calibri" w:cs="Calibri"/>
          <w:b/>
          <w:sz w:val="26"/>
        </w:rPr>
        <w:t xml:space="preserve">ANNEXE — SOURCES DOCUMENTAIRES ET INSTITUTIONNELLES .......................... </w:t>
      </w:r>
      <w:r>
        <w:rPr>
          <w:rFonts w:ascii="Calibri" w:eastAsia="Calibri" w:hAnsi="Calibri" w:cs="Calibri"/>
          <w:sz w:val="21"/>
        </w:rPr>
        <w:t xml:space="preserve"> </w:t>
      </w:r>
    </w:p>
    <w:p w14:paraId="3C180A85" w14:textId="77777777" w:rsidR="00CD748F" w:rsidRDefault="00426F7E">
      <w:pPr>
        <w:spacing w:after="0" w:line="259" w:lineRule="auto"/>
        <w:ind w:left="-5" w:right="861"/>
        <w:jc w:val="left"/>
      </w:pPr>
      <w:r>
        <w:rPr>
          <w:rFonts w:ascii="Calibri" w:eastAsia="Calibri" w:hAnsi="Calibri" w:cs="Calibri"/>
          <w:b/>
          <w:sz w:val="26"/>
        </w:rPr>
        <w:t xml:space="preserve">ANNEXE — LIMITES ET CONDITIONS POUR UN AUDIT JURIDIQUE COMPLET ........ </w:t>
      </w:r>
      <w:r>
        <w:rPr>
          <w:rFonts w:ascii="Calibri" w:eastAsia="Calibri" w:hAnsi="Calibri" w:cs="Calibri"/>
          <w:sz w:val="21"/>
        </w:rPr>
        <w:t xml:space="preserve"> </w:t>
      </w:r>
    </w:p>
    <w:p w14:paraId="015860F2" w14:textId="77777777" w:rsidR="00CD748F" w:rsidRDefault="00426F7E">
      <w:pPr>
        <w:spacing w:after="0" w:line="259" w:lineRule="auto"/>
        <w:ind w:left="0" w:right="0" w:firstLine="0"/>
        <w:jc w:val="left"/>
      </w:pPr>
      <w:r>
        <w:rPr>
          <w:rFonts w:ascii="Calibri" w:eastAsia="Calibri" w:hAnsi="Calibri" w:cs="Calibri"/>
          <w:sz w:val="21"/>
        </w:rPr>
        <w:t xml:space="preserve"> </w:t>
      </w:r>
      <w:r>
        <w:rPr>
          <w:rFonts w:ascii="Calibri" w:eastAsia="Calibri" w:hAnsi="Calibri" w:cs="Calibri"/>
          <w:sz w:val="21"/>
        </w:rPr>
        <w:tab/>
        <w:t xml:space="preserve"> </w:t>
      </w:r>
    </w:p>
    <w:p w14:paraId="368BC21C" w14:textId="77777777" w:rsidR="00CD748F" w:rsidRDefault="00426F7E">
      <w:pPr>
        <w:pStyle w:val="Titre2"/>
        <w:spacing w:after="0" w:line="259" w:lineRule="auto"/>
        <w:ind w:left="0" w:right="2" w:firstLine="0"/>
        <w:jc w:val="center"/>
      </w:pPr>
      <w:r>
        <w:t>AVERTISSEMENT ET AVIS D’AUDIT</w:t>
      </w:r>
      <w:r>
        <w:t xml:space="preserve"> </w:t>
      </w:r>
    </w:p>
    <w:p w14:paraId="2AA28DBB" w14:textId="77777777" w:rsidR="00CD748F" w:rsidRDefault="00426F7E">
      <w:pPr>
        <w:ind w:left="-5" w:right="0"/>
      </w:pPr>
      <w:r>
        <w:rPr>
          <w:rFonts w:cs="Cambria"/>
        </w:rPr>
        <w:t xml:space="preserve">Le présent rapport constitue un audit documentaire renforcé et contradictoire. Il n’est ni une </w:t>
      </w:r>
      <w:r>
        <w:t>mission de certification de la Cour des comptes, ni une expertise comptable judiciaire, ni une qualification pénale. Il a été construit à partir des trois documents de travail fournis   le bilan 2021</w:t>
      </w:r>
      <w:r>
        <w:rPr>
          <w:rFonts w:cs="Cambria"/>
        </w:rPr>
        <w:t xml:space="preserve">– 2026, l’audit documentaire de performance et le rapport V3E   puis complété par des vérifications </w:t>
      </w:r>
      <w:r>
        <w:t>documentaires auprès des producteurs institutionnels de données et des organismes de contrôle. La période 2026 reste incomplète pour de nombreux indicateurs annuels : les données 2026 infraannuelles, les prévision</w:t>
      </w:r>
      <w:r>
        <w:t xml:space="preserve">s et les objectifs à horizon 2030 sont donc systématiquement distingués des réalisations observées. </w:t>
      </w:r>
    </w:p>
    <w:p w14:paraId="392410E8" w14:textId="77777777" w:rsidR="00CD748F" w:rsidRDefault="00426F7E">
      <w:pPr>
        <w:spacing w:after="144" w:line="261" w:lineRule="auto"/>
        <w:ind w:left="-5" w:right="0"/>
      </w:pPr>
      <w:r>
        <w:rPr>
          <w:rFonts w:cs="Cambria"/>
        </w:rPr>
        <w:t xml:space="preserve">Le principe directeur est celui de la preuve par rapprochement. Une promesse n’est considérée </w:t>
      </w:r>
      <w:r>
        <w:t xml:space="preserve">comme satisfaite que si la variable mesurée correspond réellement à la variable promise. Un </w:t>
      </w:r>
      <w:r>
        <w:rPr>
          <w:rFonts w:cs="Cambria"/>
        </w:rPr>
        <w:t>emploi temporaire n’est pas assimilé à un emploi net durable ; une personne immatriculée à l’AMO n’est pas assimilée à une personne disposant de droits ouverts ; un budget voté n’est pas une dépense exécutée ; un projet approuvé n’est pas un investissement réalisé ; une capacité de dessalement n’est pas un volume d’eau effec</w:t>
      </w:r>
      <w:r>
        <w:t xml:space="preserve">tivement produit et distribué ; une subvention versée </w:t>
      </w:r>
      <w:r>
        <w:rPr>
          <w:rFonts w:cs="Cambria"/>
        </w:rPr>
        <w:t>à un opérateur n’est pas automatiquement</w:t>
      </w:r>
      <w:r>
        <w:rPr>
          <w:rFonts w:cs="Cambria"/>
        </w:rPr>
        <w:t xml:space="preserve"> un bénéfice pour le consommateur.</w:t>
      </w:r>
      <w:r>
        <w:t xml:space="preserve"> </w:t>
      </w:r>
    </w:p>
    <w:p w14:paraId="37A9632E" w14:textId="77777777" w:rsidR="00CD748F" w:rsidRDefault="00426F7E">
      <w:pPr>
        <w:ind w:left="-5" w:right="0"/>
      </w:pPr>
      <w:r>
        <w:rPr>
          <w:rFonts w:cs="Cambria"/>
        </w:rPr>
        <w:t>Lorsque les données permettent d’établir une incompatibilité matérielle entre le chiffre présenté et l’indicateur promis, le rapport utilise la qualification « faux au regard du périmètre annoncé ». Lorsqu’un chiffre est exact mais construit sur une base a</w:t>
      </w:r>
      <w:r>
        <w:t xml:space="preserve">vantageuse, il est qualifié de « trompeur par dénominateur » ou de « présentation incomplète ». Lorsque les séries ne mesurent pas le même concept, le rapport conclut à la « non-comparabilité ». Lorsque le problème est une absence de pièces, le rapport ne transforme jamais cette absence en preuve de fraude : il la classe comme « non vérifiable » ou « risque à investiguer ». </w:t>
      </w:r>
    </w:p>
    <w:p w14:paraId="784EBFD0" w14:textId="77777777" w:rsidR="00CD748F" w:rsidRDefault="00426F7E">
      <w:pPr>
        <w:spacing w:after="10" w:line="261" w:lineRule="auto"/>
        <w:ind w:left="-5" w:right="0"/>
      </w:pPr>
      <w:r>
        <w:rPr>
          <w:rFonts w:cs="Cambria"/>
        </w:rPr>
        <w:t xml:space="preserve">Le diagnostic transversal est celui d’une capacité d’action publique réelle mais d’une capacité de démonstration encore insuffisante. La Cour des comptes indique qu’en 2024 seuls 58 % des crédits </w:t>
      </w:r>
      <w:r>
        <w:t xml:space="preserve">ouverts étaient couverts par la démarche de performance, que 42 % des indicateurs mesuraient encore des activités ou des moyens, que 53 % dépendaient de facteurs exogènes et que la </w:t>
      </w:r>
      <w:r>
        <w:rPr>
          <w:rFonts w:cs="Cambria"/>
        </w:rPr>
        <w:t xml:space="preserve">réalisation moyenne des objectifs n’atteignait que 52 %. Ces chiffres ne démontrent pas une fraude </w:t>
      </w:r>
    </w:p>
    <w:p w14:paraId="0021822E" w14:textId="77777777" w:rsidR="00CD748F" w:rsidRDefault="00426F7E">
      <w:pPr>
        <w:spacing w:after="0" w:line="337" w:lineRule="auto"/>
        <w:ind w:left="-5" w:right="1440"/>
      </w:pPr>
      <w:r>
        <w:t xml:space="preserve">; ils démontrent une faiblesse du système de pilotage par les résultats. [F1][F3][S2] </w:t>
      </w:r>
      <w:r>
        <w:rPr>
          <w:rFonts w:cs="Cambria"/>
          <w:b/>
          <w:color w:val="163A5F"/>
          <w:sz w:val="40"/>
        </w:rPr>
        <w:t xml:space="preserve"> </w:t>
      </w:r>
    </w:p>
    <w:p w14:paraId="208BDCAE" w14:textId="77777777" w:rsidR="00CD748F" w:rsidRDefault="00426F7E">
      <w:pPr>
        <w:spacing w:after="217" w:line="259" w:lineRule="auto"/>
        <w:ind w:left="0" w:right="0" w:firstLine="0"/>
        <w:jc w:val="left"/>
      </w:pPr>
      <w:r>
        <w:t xml:space="preserve"> </w:t>
      </w:r>
    </w:p>
    <w:p w14:paraId="309DBB02" w14:textId="77777777" w:rsidR="00CD748F" w:rsidRDefault="00426F7E">
      <w:pPr>
        <w:spacing w:after="217" w:line="259" w:lineRule="auto"/>
        <w:ind w:left="0" w:right="0" w:firstLine="0"/>
        <w:jc w:val="left"/>
      </w:pPr>
      <w:r>
        <w:t xml:space="preserve"> </w:t>
      </w:r>
    </w:p>
    <w:p w14:paraId="2E1BFBA4" w14:textId="77777777" w:rsidR="00CD748F" w:rsidRDefault="00426F7E">
      <w:pPr>
        <w:spacing w:after="217" w:line="259" w:lineRule="auto"/>
        <w:ind w:left="0" w:right="0" w:firstLine="0"/>
        <w:jc w:val="left"/>
      </w:pPr>
      <w:r>
        <w:t xml:space="preserve"> </w:t>
      </w:r>
    </w:p>
    <w:p w14:paraId="02919A19" w14:textId="77777777" w:rsidR="00CD748F" w:rsidRDefault="00426F7E">
      <w:pPr>
        <w:spacing w:after="219" w:line="259" w:lineRule="auto"/>
        <w:ind w:left="0" w:right="0" w:firstLine="0"/>
        <w:jc w:val="left"/>
      </w:pPr>
      <w:r>
        <w:t xml:space="preserve"> </w:t>
      </w:r>
    </w:p>
    <w:p w14:paraId="26D16A8E" w14:textId="77777777" w:rsidR="00CD748F" w:rsidRDefault="00426F7E">
      <w:pPr>
        <w:spacing w:after="217" w:line="259" w:lineRule="auto"/>
        <w:ind w:left="0" w:right="0" w:firstLine="0"/>
        <w:jc w:val="left"/>
      </w:pPr>
      <w:r>
        <w:t xml:space="preserve"> </w:t>
      </w:r>
    </w:p>
    <w:p w14:paraId="4AF18947" w14:textId="77777777" w:rsidR="00CD748F" w:rsidRDefault="00426F7E">
      <w:pPr>
        <w:spacing w:after="0" w:line="259" w:lineRule="auto"/>
        <w:ind w:left="0" w:right="0" w:firstLine="0"/>
        <w:jc w:val="left"/>
      </w:pPr>
      <w:r>
        <w:t xml:space="preserve"> </w:t>
      </w:r>
    </w:p>
    <w:p w14:paraId="2F2C4269" w14:textId="77777777" w:rsidR="00CD748F" w:rsidRDefault="00426F7E">
      <w:pPr>
        <w:pStyle w:val="Titre2"/>
        <w:ind w:left="-5"/>
      </w:pPr>
      <w:r>
        <w:t xml:space="preserve">I. CONCLUSION EXÉCUTIVE   JUGEMENT GLOBAL </w:t>
      </w:r>
    </w:p>
    <w:p w14:paraId="4FFC72E9" w14:textId="77777777" w:rsidR="00CD748F" w:rsidRDefault="00426F7E">
      <w:pPr>
        <w:spacing w:after="144" w:line="261" w:lineRule="auto"/>
        <w:ind w:left="-5" w:right="0"/>
      </w:pPr>
      <w:r>
        <w:rPr>
          <w:rFonts w:cs="Cambria"/>
        </w:rPr>
        <w:t>Le gouvernement sortant laisse un bilan plus complexe que les récits partisans qui l’entourent. La période a connu la sécheresse, l’inflation internationale, le séisme d’Al Haouz, les tensions sociales, les perturbations de l’éducation et une succession de</w:t>
      </w:r>
      <w:r>
        <w:t xml:space="preserve"> contraintes hydriques. Dans ce contexte, </w:t>
      </w:r>
      <w:r>
        <w:rPr>
          <w:rFonts w:cs="Cambria"/>
        </w:rPr>
        <w:t xml:space="preserve">plusieurs réformes ont été effectivement exécutées : généralisation progressive de l’assurance </w:t>
      </w:r>
      <w:r>
        <w:t xml:space="preserve">maladie, aide sociale directe, investissements dans les infrastructures sanitaires, reconstruction </w:t>
      </w:r>
      <w:r>
        <w:rPr>
          <w:rFonts w:cs="Cambria"/>
        </w:rPr>
        <w:t>d’Al Haouz, montée e</w:t>
      </w:r>
      <w:r>
        <w:t xml:space="preserve">n puissance du tourisme, développement des renouvelables, préparation de </w:t>
      </w:r>
      <w:r>
        <w:rPr>
          <w:rFonts w:cs="Cambria"/>
        </w:rPr>
        <w:t>l’hydrogène vert, accélération numérique et soutien massif à l’investissement.</w:t>
      </w:r>
      <w:r>
        <w:t xml:space="preserve"> </w:t>
      </w:r>
    </w:p>
    <w:p w14:paraId="22D13A66" w14:textId="77777777" w:rsidR="00CD748F" w:rsidRDefault="00426F7E">
      <w:pPr>
        <w:ind w:left="-5" w:right="0"/>
      </w:pPr>
      <w:r>
        <w:t xml:space="preserve">Ces réalisations ne permettent cependant pas de valider la majorité des promesses de résultat de </w:t>
      </w:r>
      <w:r>
        <w:rPr>
          <w:rFonts w:cs="Cambria"/>
        </w:rPr>
        <w:t>2021. La mesure la plus robuste concerne l’emploi : le cumul ENE 2022–</w:t>
      </w:r>
      <w:r>
        <w:t xml:space="preserve">2025 est de +94 000 </w:t>
      </w:r>
      <w:r>
        <w:rPr>
          <w:rFonts w:cs="Cambria"/>
        </w:rPr>
        <w:t>emplois nets alors que l’engagement portait sur un million. Le chiffr</w:t>
      </w:r>
      <w:r>
        <w:t xml:space="preserve">e de 850 000 emplois mis en avant par le gouvernement en 2026 correspond à des créations dans les secteurs non agricoles et </w:t>
      </w:r>
      <w:r>
        <w:rPr>
          <w:rFonts w:cs="Cambria"/>
        </w:rPr>
        <w:t>non au solde net national ; il ne peut donc pas être substitué au compteur de l’engagement. L’activité féminine demeure à 19 % en 20</w:t>
      </w:r>
      <w:r>
        <w:t>25 contre une cible supérieure à 30 %. Le Maroc reste hors du top 60 dans PISA 2022 sur les trois</w:t>
      </w:r>
      <w:r>
        <w:t xml:space="preserve"> matières mesurées et le préscolaire universel a été repoussé à 2027</w:t>
      </w:r>
      <w:r>
        <w:rPr>
          <w:rFonts w:cs="Cambria"/>
        </w:rPr>
        <w:t>–</w:t>
      </w:r>
      <w:r>
        <w:t xml:space="preserve">2028. [F1][F2][S1] </w:t>
      </w:r>
    </w:p>
    <w:p w14:paraId="4FBA2828" w14:textId="77777777" w:rsidR="00CD748F" w:rsidRDefault="00426F7E">
      <w:pPr>
        <w:spacing w:after="144" w:line="261" w:lineRule="auto"/>
        <w:ind w:left="-5" w:right="0"/>
      </w:pPr>
      <w:r>
        <w:rPr>
          <w:rFonts w:cs="Cambria"/>
        </w:rPr>
        <w:t xml:space="preserve">Le domaine social est différent. La protection sociale constitue l’un des principaux acquis du </w:t>
      </w:r>
      <w:r>
        <w:t xml:space="preserve">mandat en matière de déploiement institutionnel, mais sa performance doit être appréciée au-delà </w:t>
      </w:r>
      <w:r>
        <w:rPr>
          <w:rFonts w:cs="Cambria"/>
        </w:rPr>
        <w:t>de l’inscription administrative. Fin 2024, 31,94 millions de per</w:t>
      </w:r>
      <w:r>
        <w:t xml:space="preserve">sonnes étaient immatriculées à </w:t>
      </w:r>
      <w:r>
        <w:rPr>
          <w:rFonts w:cs="Cambria"/>
        </w:rPr>
        <w:t>l’AMO alors que 25,6 millions disposaient de droits ouverts. L’écart d’environ 6,34 millions personnes montre qu’un système peut afficher une couverture nominale élevée sans offrir à l’ensemble des inscrits une protection imm</w:t>
      </w:r>
      <w:r>
        <w:t xml:space="preserve">édiatement mobilisable. La question devient ensuite </w:t>
      </w:r>
      <w:r>
        <w:rPr>
          <w:rFonts w:cs="Cambria"/>
        </w:rPr>
        <w:t xml:space="preserve">celle de la qualité des soins, des délais, </w:t>
      </w:r>
      <w:r>
        <w:rPr>
          <w:rFonts w:cs="Cambria"/>
        </w:rPr>
        <w:t xml:space="preserve">des restes à charge et de l’équilibre financier des régimes. </w:t>
      </w:r>
      <w:r>
        <w:t xml:space="preserve">[F1][F3][S5] </w:t>
      </w:r>
    </w:p>
    <w:p w14:paraId="33A35CDA" w14:textId="77777777" w:rsidR="00CD748F" w:rsidRDefault="00426F7E">
      <w:pPr>
        <w:ind w:left="-5" w:right="0"/>
      </w:pPr>
      <w:r>
        <w:rPr>
          <w:rFonts w:cs="Cambria"/>
        </w:rPr>
        <w:t xml:space="preserve">Le pouvoir d’achat et la classe moyenne présentent un diagnostic moins favorable. La baisse de 4,3 </w:t>
      </w:r>
      <w:r>
        <w:t xml:space="preserve">% du niveau de vie réel de la catégorie intermédiaire entre 2019 et 2022, combinée à une hausse </w:t>
      </w:r>
      <w:r>
        <w:rPr>
          <w:rFonts w:cs="Cambria"/>
        </w:rPr>
        <w:t xml:space="preserve">cumulée des prix d’environ 15 % entre 2021 et 2025, montre que le ralentissement de l’inflation </w:t>
      </w:r>
      <w:r>
        <w:t>en 2024</w:t>
      </w:r>
      <w:r>
        <w:rPr>
          <w:rFonts w:cs="Cambria"/>
        </w:rPr>
        <w:t>–</w:t>
      </w:r>
      <w:r>
        <w:t xml:space="preserve">2025 ne peut être interprété comme un retour des prix à leur niveau antérieur. Le gouvernement a compensé une partie des chocs par les transferts, les accords sociaux, la </w:t>
      </w:r>
      <w:r>
        <w:rPr>
          <w:rFonts w:cs="Cambria"/>
        </w:rPr>
        <w:t>compensation et l’aide directe, mais aucun</w:t>
      </w:r>
      <w:r>
        <w:t xml:space="preserve"> compte distributif consolidé ne permet de démontrer le rétablissement complet du revenu disponible</w:t>
      </w:r>
      <w:r>
        <w:t xml:space="preserve"> réel de la classe moyenne. [F1][F2] </w:t>
      </w:r>
    </w:p>
    <w:p w14:paraId="1D2DD444" w14:textId="77777777" w:rsidR="00CD748F" w:rsidRDefault="00426F7E">
      <w:pPr>
        <w:ind w:left="-5" w:right="0"/>
      </w:pPr>
      <w:r>
        <w:t xml:space="preserve">Le dossier agricole révèle une transformation structurelle. La sécheresse explique une partie </w:t>
      </w:r>
      <w:r>
        <w:rPr>
          <w:rFonts w:cs="Cambria"/>
        </w:rPr>
        <w:t>substantielle des pertes d’emplois agricoles, mais elle ne dispense pas l’État d’évaluer la politique d’adaptation. Les pertes d’emplois agricoles ont été de l’or</w:t>
      </w:r>
      <w:r>
        <w:t xml:space="preserve">dre de 202 000 en 2023, 137 000 en 2024 et encore 41 000 en 2025. En parallèle, la production agricole a pu rebondir. Cette dissociation entre valeur ajoutée et emploi impose de considérer la transition rurale comme un </w:t>
      </w:r>
      <w:r>
        <w:rPr>
          <w:rFonts w:cs="Cambria"/>
        </w:rPr>
        <w:t>problème de productivité de l’eau, de</w:t>
      </w:r>
      <w:r>
        <w:t xml:space="preserve"> reconversion professionnelle et de diversification du revenu, et non seulement comme un probl</w:t>
      </w:r>
      <w:r>
        <w:t xml:space="preserve">ème de compensation budgétaire. [F2][S1][S2] </w:t>
      </w:r>
    </w:p>
    <w:p w14:paraId="0234E99B" w14:textId="77777777" w:rsidR="00CD748F" w:rsidRDefault="00426F7E">
      <w:pPr>
        <w:ind w:left="-5" w:right="0"/>
      </w:pPr>
      <w:r>
        <w:t xml:space="preserve">Enfin, plusieurs controverses publiques   cheptel et subventions, hydrocarbures, foncier public, </w:t>
      </w:r>
      <w:r>
        <w:rPr>
          <w:rFonts w:cs="Cambria"/>
        </w:rPr>
        <w:t xml:space="preserve">eau, santé, manifestations Gen Z   révèlent une même faiblesse : l’absence de visibilité suffisante sur le dernier kilomètre de la dépense et de la décision. Le rôle d’un audit n’est pas d’accuser par </w:t>
      </w:r>
      <w:r>
        <w:t xml:space="preserve">principe, mais de poser les pièces qui rendent une décision vérifiable : qui a décidé, sur quelle base, qui a bénéficié, combien a été payé, pour quel livrable, avec quelle mise en service et quel effet ? </w:t>
      </w:r>
    </w:p>
    <w:p w14:paraId="42F29BED" w14:textId="77777777" w:rsidR="00CD748F" w:rsidRDefault="00426F7E">
      <w:pPr>
        <w:spacing w:after="282" w:line="259" w:lineRule="auto"/>
        <w:ind w:left="0" w:right="0" w:firstLine="0"/>
        <w:jc w:val="left"/>
      </w:pPr>
      <w:r>
        <w:t xml:space="preserve"> </w:t>
      </w:r>
    </w:p>
    <w:p w14:paraId="7054AAEA" w14:textId="77777777" w:rsidR="00CD748F" w:rsidRDefault="00426F7E">
      <w:pPr>
        <w:pStyle w:val="Titre3"/>
        <w:spacing w:after="0"/>
        <w:ind w:left="-5"/>
      </w:pPr>
      <w:r>
        <w:t xml:space="preserve">Tableau de jugement consolidé </w:t>
      </w:r>
    </w:p>
    <w:tbl>
      <w:tblPr>
        <w:tblStyle w:val="TableGrid"/>
        <w:tblW w:w="9961" w:type="dxa"/>
        <w:tblInd w:w="7" w:type="dxa"/>
        <w:tblCellMar>
          <w:top w:w="84" w:type="dxa"/>
          <w:left w:w="99" w:type="dxa"/>
          <w:bottom w:w="0" w:type="dxa"/>
          <w:right w:w="44" w:type="dxa"/>
        </w:tblCellMar>
        <w:tblLook w:val="04A0" w:firstRow="1" w:lastRow="0" w:firstColumn="1" w:lastColumn="0" w:noHBand="0" w:noVBand="1"/>
      </w:tblPr>
      <w:tblGrid>
        <w:gridCol w:w="1666"/>
        <w:gridCol w:w="3635"/>
        <w:gridCol w:w="3113"/>
        <w:gridCol w:w="1547"/>
      </w:tblGrid>
      <w:tr w:rsidR="00CD748F" w14:paraId="443FF0E4" w14:textId="77777777">
        <w:trPr>
          <w:trHeight w:val="374"/>
        </w:trPr>
        <w:tc>
          <w:tcPr>
            <w:tcW w:w="1666" w:type="dxa"/>
            <w:tcBorders>
              <w:top w:val="single" w:sz="4" w:space="0" w:color="000000"/>
              <w:left w:val="single" w:sz="4" w:space="0" w:color="000000"/>
              <w:bottom w:val="single" w:sz="4" w:space="0" w:color="000000"/>
              <w:right w:val="single" w:sz="4" w:space="0" w:color="000000"/>
            </w:tcBorders>
            <w:shd w:val="clear" w:color="auto" w:fill="163A5F"/>
          </w:tcPr>
          <w:p w14:paraId="7B2DBF5A" w14:textId="77777777" w:rsidR="00CD748F" w:rsidRDefault="00426F7E">
            <w:pPr>
              <w:spacing w:after="0" w:line="259" w:lineRule="auto"/>
              <w:ind w:left="0" w:right="0" w:firstLine="0"/>
              <w:jc w:val="left"/>
            </w:pPr>
            <w:r>
              <w:rPr>
                <w:b/>
                <w:color w:val="FFFFFF"/>
                <w:sz w:val="20"/>
              </w:rPr>
              <w:t>Domaine</w:t>
            </w:r>
            <w:r>
              <w:rPr>
                <w:color w:val="FFFFFF"/>
              </w:rPr>
              <w:t xml:space="preserve"> </w:t>
            </w:r>
          </w:p>
        </w:tc>
        <w:tc>
          <w:tcPr>
            <w:tcW w:w="3635" w:type="dxa"/>
            <w:tcBorders>
              <w:top w:val="single" w:sz="4" w:space="0" w:color="000000"/>
              <w:left w:val="single" w:sz="4" w:space="0" w:color="000000"/>
              <w:bottom w:val="single" w:sz="4" w:space="0" w:color="000000"/>
              <w:right w:val="single" w:sz="4" w:space="0" w:color="000000"/>
            </w:tcBorders>
            <w:shd w:val="clear" w:color="auto" w:fill="163A5F"/>
          </w:tcPr>
          <w:p w14:paraId="2512D290" w14:textId="77777777" w:rsidR="00CD748F" w:rsidRDefault="00426F7E">
            <w:pPr>
              <w:spacing w:after="0" w:line="259" w:lineRule="auto"/>
              <w:ind w:left="2" w:right="0" w:firstLine="0"/>
              <w:jc w:val="left"/>
            </w:pPr>
            <w:r>
              <w:rPr>
                <w:b/>
                <w:color w:val="FFFFFF"/>
                <w:sz w:val="20"/>
              </w:rPr>
              <w:t>Constat principal</w:t>
            </w:r>
            <w:r>
              <w:rPr>
                <w:color w:val="FFFFFF"/>
              </w:rPr>
              <w:t xml:space="preserve"> </w:t>
            </w:r>
          </w:p>
        </w:tc>
        <w:tc>
          <w:tcPr>
            <w:tcW w:w="3113" w:type="dxa"/>
            <w:tcBorders>
              <w:top w:val="single" w:sz="4" w:space="0" w:color="000000"/>
              <w:left w:val="single" w:sz="4" w:space="0" w:color="000000"/>
              <w:bottom w:val="single" w:sz="4" w:space="0" w:color="000000"/>
              <w:right w:val="single" w:sz="4" w:space="0" w:color="000000"/>
            </w:tcBorders>
            <w:shd w:val="clear" w:color="auto" w:fill="163A5F"/>
          </w:tcPr>
          <w:p w14:paraId="5E24A352" w14:textId="77777777" w:rsidR="00CD748F" w:rsidRDefault="00426F7E">
            <w:pPr>
              <w:spacing w:after="0" w:line="259" w:lineRule="auto"/>
              <w:ind w:left="2" w:right="0" w:firstLine="0"/>
              <w:jc w:val="left"/>
            </w:pPr>
            <w:r>
              <w:rPr>
                <w:b/>
                <w:color w:val="FFFFFF"/>
                <w:sz w:val="20"/>
              </w:rPr>
              <w:t>Qualification d’audit</w:t>
            </w:r>
            <w:r>
              <w:rPr>
                <w:color w:val="FFFFFF"/>
              </w:rPr>
              <w:t xml:space="preserve"> </w:t>
            </w:r>
          </w:p>
        </w:tc>
        <w:tc>
          <w:tcPr>
            <w:tcW w:w="1547" w:type="dxa"/>
            <w:tcBorders>
              <w:top w:val="single" w:sz="4" w:space="0" w:color="000000"/>
              <w:left w:val="single" w:sz="4" w:space="0" w:color="000000"/>
              <w:bottom w:val="single" w:sz="4" w:space="0" w:color="000000"/>
              <w:right w:val="single" w:sz="4" w:space="0" w:color="000000"/>
            </w:tcBorders>
            <w:shd w:val="clear" w:color="auto" w:fill="163A5F"/>
          </w:tcPr>
          <w:p w14:paraId="3E9A65CB" w14:textId="77777777" w:rsidR="00CD748F" w:rsidRDefault="00426F7E">
            <w:pPr>
              <w:spacing w:after="0" w:line="259" w:lineRule="auto"/>
              <w:ind w:left="2" w:right="0" w:firstLine="0"/>
              <w:jc w:val="left"/>
            </w:pPr>
            <w:r>
              <w:rPr>
                <w:b/>
                <w:color w:val="FFFFFF"/>
                <w:sz w:val="20"/>
              </w:rPr>
              <w:t>Confiance</w:t>
            </w:r>
            <w:r>
              <w:rPr>
                <w:color w:val="FFFFFF"/>
              </w:rPr>
              <w:t xml:space="preserve"> </w:t>
            </w:r>
          </w:p>
        </w:tc>
      </w:tr>
      <w:tr w:rsidR="00CD748F" w14:paraId="6833D106" w14:textId="77777777">
        <w:trPr>
          <w:trHeight w:val="645"/>
        </w:trPr>
        <w:tc>
          <w:tcPr>
            <w:tcW w:w="1666"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640933FE" w14:textId="77777777" w:rsidR="00CD748F" w:rsidRDefault="00426F7E">
            <w:pPr>
              <w:spacing w:after="0" w:line="259" w:lineRule="auto"/>
              <w:ind w:left="0" w:right="0" w:firstLine="0"/>
              <w:jc w:val="left"/>
            </w:pPr>
            <w:r>
              <w:rPr>
                <w:sz w:val="20"/>
              </w:rPr>
              <w:t>Emploi</w:t>
            </w:r>
            <w:r>
              <w:t xml:space="preserve"> </w:t>
            </w:r>
          </w:p>
        </w:tc>
        <w:tc>
          <w:tcPr>
            <w:tcW w:w="3635" w:type="dxa"/>
            <w:tcBorders>
              <w:top w:val="single" w:sz="4" w:space="0" w:color="000000"/>
              <w:left w:val="single" w:sz="4" w:space="0" w:color="000000"/>
              <w:bottom w:val="single" w:sz="4" w:space="0" w:color="000000"/>
              <w:right w:val="single" w:sz="4" w:space="0" w:color="000000"/>
            </w:tcBorders>
            <w:shd w:val="clear" w:color="auto" w:fill="EEF3F7"/>
          </w:tcPr>
          <w:p w14:paraId="501C76F5" w14:textId="77777777" w:rsidR="00CD748F" w:rsidRDefault="00426F7E">
            <w:pPr>
              <w:spacing w:after="0" w:line="259" w:lineRule="auto"/>
              <w:ind w:left="2" w:right="0" w:firstLine="0"/>
              <w:jc w:val="left"/>
            </w:pPr>
            <w:r>
              <w:rPr>
                <w:sz w:val="20"/>
              </w:rPr>
              <w:t>+94 000 nets 2022</w:t>
            </w:r>
            <w:r>
              <w:rPr>
                <w:sz w:val="20"/>
              </w:rPr>
              <w:t>–</w:t>
            </w:r>
            <w:r>
              <w:rPr>
                <w:sz w:val="20"/>
              </w:rPr>
              <w:t>2025 ; 850k = nonagricole</w:t>
            </w:r>
            <w:r>
              <w:t xml:space="preserve"> </w:t>
            </w:r>
          </w:p>
        </w:tc>
        <w:tc>
          <w:tcPr>
            <w:tcW w:w="3113" w:type="dxa"/>
            <w:tcBorders>
              <w:top w:val="single" w:sz="4" w:space="0" w:color="000000"/>
              <w:left w:val="single" w:sz="4" w:space="0" w:color="000000"/>
              <w:bottom w:val="single" w:sz="4" w:space="0" w:color="000000"/>
              <w:right w:val="single" w:sz="4" w:space="0" w:color="000000"/>
            </w:tcBorders>
            <w:shd w:val="clear" w:color="auto" w:fill="EEF3F7"/>
          </w:tcPr>
          <w:p w14:paraId="6F0C6D1E" w14:textId="77777777" w:rsidR="00CD748F" w:rsidRDefault="00426F7E">
            <w:pPr>
              <w:tabs>
                <w:tab w:val="center" w:pos="1068"/>
                <w:tab w:val="center" w:pos="1711"/>
                <w:tab w:val="right" w:pos="2970"/>
              </w:tabs>
              <w:spacing w:after="16" w:line="259" w:lineRule="auto"/>
              <w:ind w:left="0" w:right="0" w:firstLine="0"/>
              <w:jc w:val="left"/>
            </w:pPr>
            <w:r>
              <w:rPr>
                <w:sz w:val="20"/>
              </w:rPr>
              <w:t xml:space="preserve">Écart </w:t>
            </w:r>
            <w:r>
              <w:rPr>
                <w:sz w:val="20"/>
              </w:rPr>
              <w:tab/>
              <w:t xml:space="preserve">majeur </w:t>
            </w:r>
            <w:r>
              <w:rPr>
                <w:sz w:val="20"/>
              </w:rPr>
              <w:tab/>
              <w:t xml:space="preserve">; </w:t>
            </w:r>
            <w:r>
              <w:rPr>
                <w:sz w:val="20"/>
              </w:rPr>
              <w:tab/>
              <w:t xml:space="preserve">périmètre </w:t>
            </w:r>
          </w:p>
          <w:p w14:paraId="4AC3091D" w14:textId="77777777" w:rsidR="00CD748F" w:rsidRDefault="00426F7E">
            <w:pPr>
              <w:spacing w:after="0" w:line="259" w:lineRule="auto"/>
              <w:ind w:left="2" w:right="0" w:firstLine="0"/>
              <w:jc w:val="left"/>
            </w:pPr>
            <w:r>
              <w:rPr>
                <w:sz w:val="20"/>
              </w:rPr>
              <w:t>gouvernemental non équivalent</w:t>
            </w:r>
            <w:r>
              <w:t xml:space="preserve"> </w:t>
            </w:r>
          </w:p>
        </w:tc>
        <w:tc>
          <w:tcPr>
            <w:tcW w:w="1547"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3741890F" w14:textId="77777777" w:rsidR="00CD748F" w:rsidRDefault="00426F7E">
            <w:pPr>
              <w:spacing w:after="0" w:line="259" w:lineRule="auto"/>
              <w:ind w:left="2" w:right="0" w:firstLine="0"/>
              <w:jc w:val="left"/>
            </w:pPr>
            <w:r>
              <w:rPr>
                <w:sz w:val="20"/>
              </w:rPr>
              <w:t>Forte</w:t>
            </w:r>
            <w:r>
              <w:t xml:space="preserve"> </w:t>
            </w:r>
          </w:p>
        </w:tc>
      </w:tr>
      <w:tr w:rsidR="00CD748F" w14:paraId="3E39B4F2" w14:textId="77777777">
        <w:trPr>
          <w:trHeight w:val="510"/>
        </w:trPr>
        <w:tc>
          <w:tcPr>
            <w:tcW w:w="1666" w:type="dxa"/>
            <w:tcBorders>
              <w:top w:val="single" w:sz="4" w:space="0" w:color="000000"/>
              <w:left w:val="single" w:sz="4" w:space="0" w:color="000000"/>
              <w:bottom w:val="single" w:sz="4" w:space="0" w:color="000000"/>
              <w:right w:val="single" w:sz="4" w:space="0" w:color="000000"/>
            </w:tcBorders>
            <w:vAlign w:val="center"/>
          </w:tcPr>
          <w:p w14:paraId="26E6C572" w14:textId="77777777" w:rsidR="00CD748F" w:rsidRDefault="00426F7E">
            <w:pPr>
              <w:spacing w:after="0" w:line="259" w:lineRule="auto"/>
              <w:ind w:left="0" w:right="0" w:firstLine="0"/>
              <w:jc w:val="left"/>
            </w:pPr>
            <w:r>
              <w:rPr>
                <w:sz w:val="20"/>
              </w:rPr>
              <w:t>Femmes</w:t>
            </w:r>
            <w:r>
              <w:t xml:space="preserve"> </w:t>
            </w:r>
          </w:p>
        </w:tc>
        <w:tc>
          <w:tcPr>
            <w:tcW w:w="3635" w:type="dxa"/>
            <w:tcBorders>
              <w:top w:val="single" w:sz="4" w:space="0" w:color="000000"/>
              <w:left w:val="single" w:sz="4" w:space="0" w:color="000000"/>
              <w:bottom w:val="single" w:sz="4" w:space="0" w:color="000000"/>
              <w:right w:val="single" w:sz="4" w:space="0" w:color="000000"/>
            </w:tcBorders>
            <w:vAlign w:val="center"/>
          </w:tcPr>
          <w:p w14:paraId="7E318053" w14:textId="77777777" w:rsidR="00CD748F" w:rsidRDefault="00426F7E">
            <w:pPr>
              <w:spacing w:after="0" w:line="259" w:lineRule="auto"/>
              <w:ind w:left="2" w:right="0" w:firstLine="0"/>
              <w:jc w:val="left"/>
            </w:pPr>
            <w:r>
              <w:rPr>
                <w:sz w:val="20"/>
              </w:rPr>
              <w:t>19 % activité en 2025</w:t>
            </w:r>
            <w:r>
              <w:t xml:space="preserve"> </w:t>
            </w:r>
          </w:p>
        </w:tc>
        <w:tc>
          <w:tcPr>
            <w:tcW w:w="3113" w:type="dxa"/>
            <w:tcBorders>
              <w:top w:val="single" w:sz="4" w:space="0" w:color="000000"/>
              <w:left w:val="single" w:sz="4" w:space="0" w:color="000000"/>
              <w:bottom w:val="single" w:sz="4" w:space="0" w:color="000000"/>
              <w:right w:val="single" w:sz="4" w:space="0" w:color="000000"/>
            </w:tcBorders>
            <w:vAlign w:val="center"/>
          </w:tcPr>
          <w:p w14:paraId="4C14EF28" w14:textId="77777777" w:rsidR="00CD748F" w:rsidRDefault="00426F7E">
            <w:pPr>
              <w:spacing w:after="0" w:line="259" w:lineRule="auto"/>
              <w:ind w:left="2" w:right="0" w:firstLine="0"/>
              <w:jc w:val="left"/>
            </w:pPr>
            <w:r>
              <w:rPr>
                <w:sz w:val="20"/>
              </w:rPr>
              <w:t>Cible &gt;30 % non atteinte</w:t>
            </w:r>
            <w:r>
              <w:t xml:space="preserve"> </w:t>
            </w:r>
          </w:p>
        </w:tc>
        <w:tc>
          <w:tcPr>
            <w:tcW w:w="1547" w:type="dxa"/>
            <w:tcBorders>
              <w:top w:val="single" w:sz="4" w:space="0" w:color="000000"/>
              <w:left w:val="single" w:sz="4" w:space="0" w:color="000000"/>
              <w:bottom w:val="single" w:sz="4" w:space="0" w:color="000000"/>
              <w:right w:val="single" w:sz="4" w:space="0" w:color="000000"/>
            </w:tcBorders>
            <w:vAlign w:val="center"/>
          </w:tcPr>
          <w:p w14:paraId="5A27A6E0" w14:textId="77777777" w:rsidR="00CD748F" w:rsidRDefault="00426F7E">
            <w:pPr>
              <w:spacing w:after="0" w:line="259" w:lineRule="auto"/>
              <w:ind w:left="2" w:right="0" w:firstLine="0"/>
              <w:jc w:val="left"/>
            </w:pPr>
            <w:r>
              <w:rPr>
                <w:sz w:val="20"/>
              </w:rPr>
              <w:t>Forte</w:t>
            </w:r>
            <w:r>
              <w:t xml:space="preserve"> </w:t>
            </w:r>
          </w:p>
        </w:tc>
      </w:tr>
      <w:tr w:rsidR="00CD748F" w14:paraId="186DEB42" w14:textId="77777777">
        <w:trPr>
          <w:trHeight w:val="616"/>
        </w:trPr>
        <w:tc>
          <w:tcPr>
            <w:tcW w:w="1666" w:type="dxa"/>
            <w:tcBorders>
              <w:top w:val="single" w:sz="4" w:space="0" w:color="000000"/>
              <w:left w:val="single" w:sz="4" w:space="0" w:color="000000"/>
              <w:bottom w:val="single" w:sz="4" w:space="0" w:color="000000"/>
              <w:right w:val="single" w:sz="4" w:space="0" w:color="000000"/>
            </w:tcBorders>
            <w:shd w:val="clear" w:color="auto" w:fill="EEF3F7"/>
          </w:tcPr>
          <w:p w14:paraId="46DF6C06" w14:textId="77777777" w:rsidR="00CD748F" w:rsidRDefault="00426F7E">
            <w:pPr>
              <w:spacing w:after="0" w:line="259" w:lineRule="auto"/>
              <w:ind w:left="0" w:right="0" w:firstLine="0"/>
              <w:jc w:val="left"/>
            </w:pPr>
            <w:r>
              <w:rPr>
                <w:sz w:val="20"/>
              </w:rPr>
              <w:t>Protection sociale</w:t>
            </w:r>
            <w:r>
              <w:t xml:space="preserve"> </w:t>
            </w:r>
          </w:p>
        </w:tc>
        <w:tc>
          <w:tcPr>
            <w:tcW w:w="3635"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0440004B" w14:textId="77777777" w:rsidR="00CD748F" w:rsidRDefault="00426F7E">
            <w:pPr>
              <w:spacing w:after="0" w:line="259" w:lineRule="auto"/>
              <w:ind w:left="2" w:right="0" w:firstLine="0"/>
              <w:jc w:val="left"/>
            </w:pPr>
            <w:r>
              <w:rPr>
                <w:sz w:val="20"/>
              </w:rPr>
              <w:t>31,94 M inscrits / 25,6 M droits ouverts</w:t>
            </w:r>
            <w:r>
              <w:t xml:space="preserve"> </w:t>
            </w:r>
          </w:p>
        </w:tc>
        <w:tc>
          <w:tcPr>
            <w:tcW w:w="3113" w:type="dxa"/>
            <w:tcBorders>
              <w:top w:val="single" w:sz="4" w:space="0" w:color="000000"/>
              <w:left w:val="single" w:sz="4" w:space="0" w:color="000000"/>
              <w:bottom w:val="single" w:sz="4" w:space="0" w:color="000000"/>
              <w:right w:val="single" w:sz="4" w:space="0" w:color="000000"/>
            </w:tcBorders>
            <w:shd w:val="clear" w:color="auto" w:fill="EEF3F7"/>
          </w:tcPr>
          <w:p w14:paraId="2657F61E" w14:textId="77777777" w:rsidR="00CD748F" w:rsidRDefault="00426F7E">
            <w:pPr>
              <w:spacing w:after="0" w:line="259" w:lineRule="auto"/>
              <w:ind w:left="2" w:right="0" w:firstLine="0"/>
            </w:pPr>
            <w:r>
              <w:rPr>
                <w:sz w:val="20"/>
              </w:rPr>
              <w:t>Avancée majeure, généralisation effective incomplète</w:t>
            </w:r>
            <w:r>
              <w:t xml:space="preserve"> </w:t>
            </w:r>
          </w:p>
        </w:tc>
        <w:tc>
          <w:tcPr>
            <w:tcW w:w="1547"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1789B192" w14:textId="77777777" w:rsidR="00CD748F" w:rsidRDefault="00426F7E">
            <w:pPr>
              <w:spacing w:after="0" w:line="259" w:lineRule="auto"/>
              <w:ind w:left="2" w:right="0" w:firstLine="0"/>
              <w:jc w:val="left"/>
            </w:pPr>
            <w:r>
              <w:rPr>
                <w:sz w:val="20"/>
              </w:rPr>
              <w:t>Forte</w:t>
            </w:r>
            <w:r>
              <w:t xml:space="preserve"> </w:t>
            </w:r>
          </w:p>
        </w:tc>
      </w:tr>
      <w:tr w:rsidR="00CD748F" w14:paraId="2FE6E238" w14:textId="77777777">
        <w:trPr>
          <w:trHeight w:val="741"/>
        </w:trPr>
        <w:tc>
          <w:tcPr>
            <w:tcW w:w="1666" w:type="dxa"/>
            <w:tcBorders>
              <w:top w:val="single" w:sz="4" w:space="0" w:color="000000"/>
              <w:left w:val="single" w:sz="4" w:space="0" w:color="000000"/>
              <w:bottom w:val="single" w:sz="33" w:space="0" w:color="EEF3F7"/>
              <w:right w:val="single" w:sz="4" w:space="0" w:color="000000"/>
            </w:tcBorders>
            <w:vAlign w:val="center"/>
          </w:tcPr>
          <w:p w14:paraId="4BE705D0" w14:textId="77777777" w:rsidR="00CD748F" w:rsidRDefault="00426F7E">
            <w:pPr>
              <w:spacing w:after="0" w:line="259" w:lineRule="auto"/>
              <w:ind w:left="0" w:right="0" w:firstLine="0"/>
              <w:jc w:val="left"/>
            </w:pPr>
            <w:r>
              <w:rPr>
                <w:sz w:val="20"/>
              </w:rPr>
              <w:t>Classe moyenne</w:t>
            </w:r>
            <w:r>
              <w:t xml:space="preserve"> </w:t>
            </w:r>
          </w:p>
        </w:tc>
        <w:tc>
          <w:tcPr>
            <w:tcW w:w="3635" w:type="dxa"/>
            <w:tcBorders>
              <w:top w:val="single" w:sz="4" w:space="0" w:color="000000"/>
              <w:left w:val="single" w:sz="4" w:space="0" w:color="000000"/>
              <w:bottom w:val="single" w:sz="33" w:space="0" w:color="EEF3F7"/>
              <w:right w:val="single" w:sz="4" w:space="0" w:color="000000"/>
            </w:tcBorders>
            <w:vAlign w:val="center"/>
          </w:tcPr>
          <w:p w14:paraId="78D6D74C" w14:textId="77777777" w:rsidR="00CD748F" w:rsidRDefault="00426F7E">
            <w:pPr>
              <w:spacing w:after="12" w:line="259" w:lineRule="auto"/>
              <w:ind w:left="2" w:right="0" w:firstLine="0"/>
              <w:jc w:val="left"/>
            </w:pPr>
            <w:r>
              <w:rPr>
                <w:sz w:val="20"/>
              </w:rPr>
              <w:t>−</w:t>
            </w:r>
            <w:r>
              <w:rPr>
                <w:sz w:val="20"/>
              </w:rPr>
              <w:t>4,3 % niveau de vie réel 2019</w:t>
            </w:r>
            <w:r>
              <w:rPr>
                <w:sz w:val="20"/>
              </w:rPr>
              <w:t>–</w:t>
            </w:r>
            <w:r>
              <w:rPr>
                <w:sz w:val="20"/>
              </w:rPr>
              <w:t xml:space="preserve">22 ; prix </w:t>
            </w:r>
          </w:p>
          <w:p w14:paraId="650E7D89" w14:textId="77777777" w:rsidR="00CD748F" w:rsidRDefault="00426F7E">
            <w:pPr>
              <w:spacing w:after="0" w:line="259" w:lineRule="auto"/>
              <w:ind w:left="2" w:right="0" w:firstLine="0"/>
              <w:jc w:val="left"/>
            </w:pPr>
            <w:r>
              <w:rPr>
                <w:sz w:val="20"/>
              </w:rPr>
              <w:t>+~15 % 2021</w:t>
            </w:r>
            <w:r>
              <w:rPr>
                <w:sz w:val="20"/>
              </w:rPr>
              <w:t>–</w:t>
            </w:r>
            <w:r>
              <w:rPr>
                <w:sz w:val="20"/>
              </w:rPr>
              <w:t>25</w:t>
            </w:r>
            <w:r>
              <w:t xml:space="preserve"> </w:t>
            </w:r>
          </w:p>
        </w:tc>
        <w:tc>
          <w:tcPr>
            <w:tcW w:w="3113" w:type="dxa"/>
            <w:tcBorders>
              <w:top w:val="single" w:sz="4" w:space="0" w:color="000000"/>
              <w:left w:val="single" w:sz="4" w:space="0" w:color="000000"/>
              <w:bottom w:val="single" w:sz="33" w:space="0" w:color="EEF3F7"/>
              <w:right w:val="single" w:sz="4" w:space="0" w:color="000000"/>
            </w:tcBorders>
            <w:vAlign w:val="center"/>
          </w:tcPr>
          <w:p w14:paraId="77F2E56E" w14:textId="77777777" w:rsidR="00CD748F" w:rsidRDefault="00426F7E">
            <w:pPr>
              <w:spacing w:after="0" w:line="259" w:lineRule="auto"/>
              <w:ind w:left="2" w:right="0" w:firstLine="0"/>
              <w:jc w:val="left"/>
            </w:pPr>
            <w:r>
              <w:rPr>
                <w:sz w:val="20"/>
              </w:rPr>
              <w:t>Résultat distributif non démontré</w:t>
            </w:r>
            <w:r>
              <w:t xml:space="preserve"> </w:t>
            </w:r>
          </w:p>
        </w:tc>
        <w:tc>
          <w:tcPr>
            <w:tcW w:w="1547" w:type="dxa"/>
            <w:tcBorders>
              <w:top w:val="single" w:sz="4" w:space="0" w:color="000000"/>
              <w:left w:val="single" w:sz="4" w:space="0" w:color="000000"/>
              <w:bottom w:val="single" w:sz="33" w:space="0" w:color="EEF3F7"/>
              <w:right w:val="single" w:sz="4" w:space="0" w:color="000000"/>
            </w:tcBorders>
            <w:vAlign w:val="center"/>
          </w:tcPr>
          <w:p w14:paraId="3C58A60C" w14:textId="77777777" w:rsidR="00CD748F" w:rsidRDefault="00426F7E">
            <w:pPr>
              <w:spacing w:after="0" w:line="259" w:lineRule="auto"/>
              <w:ind w:left="2" w:right="0" w:firstLine="0"/>
              <w:jc w:val="left"/>
            </w:pPr>
            <w:r>
              <w:rPr>
                <w:sz w:val="20"/>
              </w:rPr>
              <w:t>Forte/Moyenne</w:t>
            </w:r>
            <w:r>
              <w:t xml:space="preserve"> </w:t>
            </w:r>
          </w:p>
        </w:tc>
      </w:tr>
      <w:tr w:rsidR="00CD748F" w14:paraId="5F4CC2AC" w14:textId="77777777">
        <w:trPr>
          <w:trHeight w:val="383"/>
        </w:trPr>
        <w:tc>
          <w:tcPr>
            <w:tcW w:w="1666" w:type="dxa"/>
            <w:tcBorders>
              <w:top w:val="single" w:sz="33" w:space="0" w:color="EEF3F7"/>
              <w:left w:val="single" w:sz="4" w:space="0" w:color="000000"/>
              <w:bottom w:val="single" w:sz="4" w:space="0" w:color="000000"/>
              <w:right w:val="single" w:sz="4" w:space="0" w:color="000000"/>
            </w:tcBorders>
            <w:shd w:val="clear" w:color="auto" w:fill="EEF3F7"/>
          </w:tcPr>
          <w:p w14:paraId="4781393D" w14:textId="77777777" w:rsidR="00CD748F" w:rsidRDefault="00426F7E">
            <w:pPr>
              <w:spacing w:after="0" w:line="259" w:lineRule="auto"/>
              <w:ind w:left="0" w:right="0" w:firstLine="0"/>
              <w:jc w:val="left"/>
            </w:pPr>
            <w:r>
              <w:rPr>
                <w:sz w:val="20"/>
              </w:rPr>
              <w:t>Éducation</w:t>
            </w:r>
            <w:r>
              <w:t xml:space="preserve"> </w:t>
            </w:r>
          </w:p>
        </w:tc>
        <w:tc>
          <w:tcPr>
            <w:tcW w:w="3635" w:type="dxa"/>
            <w:tcBorders>
              <w:top w:val="single" w:sz="33" w:space="0" w:color="EEF3F7"/>
              <w:left w:val="single" w:sz="4" w:space="0" w:color="000000"/>
              <w:bottom w:val="single" w:sz="4" w:space="0" w:color="000000"/>
              <w:right w:val="single" w:sz="4" w:space="0" w:color="000000"/>
            </w:tcBorders>
            <w:shd w:val="clear" w:color="auto" w:fill="EEF3F7"/>
          </w:tcPr>
          <w:p w14:paraId="437DAA28" w14:textId="77777777" w:rsidR="00CD748F" w:rsidRDefault="00426F7E">
            <w:pPr>
              <w:spacing w:after="0" w:line="259" w:lineRule="auto"/>
              <w:ind w:left="2" w:right="0" w:firstLine="0"/>
              <w:jc w:val="left"/>
            </w:pPr>
            <w:r>
              <w:rPr>
                <w:sz w:val="20"/>
              </w:rPr>
              <w:t>PISA hors top 60 ; préscolaire reporté</w:t>
            </w:r>
            <w:r>
              <w:t xml:space="preserve"> </w:t>
            </w:r>
          </w:p>
        </w:tc>
        <w:tc>
          <w:tcPr>
            <w:tcW w:w="3113" w:type="dxa"/>
            <w:tcBorders>
              <w:top w:val="single" w:sz="33" w:space="0" w:color="EEF3F7"/>
              <w:left w:val="single" w:sz="4" w:space="0" w:color="000000"/>
              <w:bottom w:val="single" w:sz="4" w:space="0" w:color="000000"/>
              <w:right w:val="single" w:sz="4" w:space="0" w:color="000000"/>
            </w:tcBorders>
            <w:shd w:val="clear" w:color="auto" w:fill="EEF3F7"/>
          </w:tcPr>
          <w:p w14:paraId="46F5A7EF" w14:textId="77777777" w:rsidR="00CD748F" w:rsidRDefault="00426F7E">
            <w:pPr>
              <w:spacing w:after="0" w:line="259" w:lineRule="auto"/>
              <w:ind w:left="2" w:right="0" w:firstLine="0"/>
              <w:jc w:val="left"/>
            </w:pPr>
            <w:r>
              <w:rPr>
                <w:sz w:val="20"/>
              </w:rPr>
              <w:t>Échec/retard sur cibles</w:t>
            </w:r>
            <w:r>
              <w:t xml:space="preserve"> </w:t>
            </w:r>
          </w:p>
        </w:tc>
        <w:tc>
          <w:tcPr>
            <w:tcW w:w="1547" w:type="dxa"/>
            <w:tcBorders>
              <w:top w:val="single" w:sz="33" w:space="0" w:color="EEF3F7"/>
              <w:left w:val="single" w:sz="4" w:space="0" w:color="000000"/>
              <w:bottom w:val="single" w:sz="4" w:space="0" w:color="000000"/>
              <w:right w:val="single" w:sz="4" w:space="0" w:color="000000"/>
            </w:tcBorders>
            <w:shd w:val="clear" w:color="auto" w:fill="EEF3F7"/>
          </w:tcPr>
          <w:p w14:paraId="593848C6" w14:textId="77777777" w:rsidR="00CD748F" w:rsidRDefault="00426F7E">
            <w:pPr>
              <w:spacing w:after="0" w:line="259" w:lineRule="auto"/>
              <w:ind w:left="2" w:right="0" w:firstLine="0"/>
              <w:jc w:val="left"/>
            </w:pPr>
            <w:r>
              <w:rPr>
                <w:sz w:val="20"/>
              </w:rPr>
              <w:t>Forte</w:t>
            </w:r>
            <w:r>
              <w:t xml:space="preserve"> </w:t>
            </w:r>
          </w:p>
        </w:tc>
      </w:tr>
      <w:tr w:rsidR="00CD748F" w14:paraId="6F514B26" w14:textId="77777777">
        <w:trPr>
          <w:trHeight w:val="508"/>
        </w:trPr>
        <w:tc>
          <w:tcPr>
            <w:tcW w:w="1666" w:type="dxa"/>
            <w:tcBorders>
              <w:top w:val="single" w:sz="4" w:space="0" w:color="000000"/>
              <w:left w:val="single" w:sz="4" w:space="0" w:color="000000"/>
              <w:bottom w:val="single" w:sz="4" w:space="0" w:color="000000"/>
              <w:right w:val="single" w:sz="4" w:space="0" w:color="000000"/>
            </w:tcBorders>
            <w:vAlign w:val="center"/>
          </w:tcPr>
          <w:p w14:paraId="1ED52C29" w14:textId="77777777" w:rsidR="00CD748F" w:rsidRDefault="00426F7E">
            <w:pPr>
              <w:spacing w:after="0" w:line="259" w:lineRule="auto"/>
              <w:ind w:left="0" w:right="0" w:firstLine="0"/>
              <w:jc w:val="left"/>
            </w:pPr>
            <w:r>
              <w:rPr>
                <w:sz w:val="20"/>
              </w:rPr>
              <w:t>Croissance</w:t>
            </w:r>
            <w:r>
              <w:t xml:space="preserve"> </w:t>
            </w:r>
          </w:p>
        </w:tc>
        <w:tc>
          <w:tcPr>
            <w:tcW w:w="3635" w:type="dxa"/>
            <w:tcBorders>
              <w:top w:val="single" w:sz="4" w:space="0" w:color="000000"/>
              <w:left w:val="single" w:sz="4" w:space="0" w:color="000000"/>
              <w:bottom w:val="single" w:sz="4" w:space="0" w:color="000000"/>
              <w:right w:val="single" w:sz="4" w:space="0" w:color="000000"/>
            </w:tcBorders>
            <w:vAlign w:val="center"/>
          </w:tcPr>
          <w:p w14:paraId="730BD50B" w14:textId="77777777" w:rsidR="00CD748F" w:rsidRDefault="00426F7E">
            <w:pPr>
              <w:spacing w:after="0" w:line="259" w:lineRule="auto"/>
              <w:ind w:left="2" w:right="0" w:firstLine="0"/>
              <w:jc w:val="left"/>
            </w:pPr>
            <w:r>
              <w:rPr>
                <w:sz w:val="20"/>
              </w:rPr>
              <w:t>3,65 % moyenne 2022</w:t>
            </w:r>
            <w:r>
              <w:rPr>
                <w:sz w:val="20"/>
              </w:rPr>
              <w:t>–</w:t>
            </w:r>
            <w:r>
              <w:rPr>
                <w:sz w:val="20"/>
              </w:rPr>
              <w:t>25</w:t>
            </w:r>
            <w:r>
              <w:t xml:space="preserve"> </w:t>
            </w:r>
          </w:p>
        </w:tc>
        <w:tc>
          <w:tcPr>
            <w:tcW w:w="3113" w:type="dxa"/>
            <w:tcBorders>
              <w:top w:val="single" w:sz="4" w:space="0" w:color="000000"/>
              <w:left w:val="single" w:sz="4" w:space="0" w:color="000000"/>
              <w:bottom w:val="single" w:sz="4" w:space="0" w:color="000000"/>
              <w:right w:val="single" w:sz="4" w:space="0" w:color="000000"/>
            </w:tcBorders>
            <w:vAlign w:val="center"/>
          </w:tcPr>
          <w:p w14:paraId="27F8F105" w14:textId="77777777" w:rsidR="00CD748F" w:rsidRDefault="00426F7E">
            <w:pPr>
              <w:spacing w:after="0" w:line="259" w:lineRule="auto"/>
              <w:ind w:left="2" w:right="0" w:firstLine="0"/>
              <w:jc w:val="left"/>
            </w:pPr>
            <w:r>
              <w:rPr>
                <w:sz w:val="20"/>
              </w:rPr>
              <w:t>Proche, non certifiée pour 2026</w:t>
            </w:r>
            <w:r>
              <w:t xml:space="preserve"> </w:t>
            </w:r>
          </w:p>
        </w:tc>
        <w:tc>
          <w:tcPr>
            <w:tcW w:w="1547" w:type="dxa"/>
            <w:tcBorders>
              <w:top w:val="single" w:sz="4" w:space="0" w:color="000000"/>
              <w:left w:val="single" w:sz="4" w:space="0" w:color="000000"/>
              <w:bottom w:val="single" w:sz="4" w:space="0" w:color="000000"/>
              <w:right w:val="single" w:sz="4" w:space="0" w:color="000000"/>
            </w:tcBorders>
            <w:vAlign w:val="center"/>
          </w:tcPr>
          <w:p w14:paraId="1443278F" w14:textId="77777777" w:rsidR="00CD748F" w:rsidRDefault="00426F7E">
            <w:pPr>
              <w:spacing w:after="0" w:line="259" w:lineRule="auto"/>
              <w:ind w:left="2" w:right="0" w:firstLine="0"/>
              <w:jc w:val="left"/>
            </w:pPr>
            <w:r>
              <w:rPr>
                <w:sz w:val="20"/>
              </w:rPr>
              <w:t>Forte</w:t>
            </w:r>
            <w:r>
              <w:t xml:space="preserve"> </w:t>
            </w:r>
          </w:p>
        </w:tc>
      </w:tr>
      <w:tr w:rsidR="00CD748F" w14:paraId="7357A0B5" w14:textId="77777777">
        <w:trPr>
          <w:trHeight w:val="615"/>
        </w:trPr>
        <w:tc>
          <w:tcPr>
            <w:tcW w:w="1666"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1CBCE578" w14:textId="77777777" w:rsidR="00CD748F" w:rsidRDefault="00426F7E">
            <w:pPr>
              <w:spacing w:after="0" w:line="259" w:lineRule="auto"/>
              <w:ind w:left="0" w:right="0" w:firstLine="0"/>
              <w:jc w:val="left"/>
            </w:pPr>
            <w:r>
              <w:rPr>
                <w:sz w:val="20"/>
              </w:rPr>
              <w:t>Pauvreté</w:t>
            </w:r>
            <w:r>
              <w:t xml:space="preserve"> </w:t>
            </w:r>
          </w:p>
        </w:tc>
        <w:tc>
          <w:tcPr>
            <w:tcW w:w="3635" w:type="dxa"/>
            <w:tcBorders>
              <w:top w:val="single" w:sz="4" w:space="0" w:color="000000"/>
              <w:left w:val="single" w:sz="4" w:space="0" w:color="000000"/>
              <w:bottom w:val="single" w:sz="4" w:space="0" w:color="000000"/>
              <w:right w:val="single" w:sz="4" w:space="0" w:color="000000"/>
            </w:tcBorders>
            <w:shd w:val="clear" w:color="auto" w:fill="EEF3F7"/>
          </w:tcPr>
          <w:p w14:paraId="15BBFF64" w14:textId="77777777" w:rsidR="00CD748F" w:rsidRDefault="00426F7E">
            <w:pPr>
              <w:spacing w:after="0" w:line="259" w:lineRule="auto"/>
              <w:ind w:left="2" w:right="0" w:firstLine="0"/>
            </w:pPr>
            <w:r>
              <w:rPr>
                <w:sz w:val="20"/>
              </w:rPr>
              <w:t>Aide ~3,9</w:t>
            </w:r>
            <w:r>
              <w:rPr>
                <w:sz w:val="20"/>
              </w:rPr>
              <w:t>–</w:t>
            </w:r>
            <w:r>
              <w:rPr>
                <w:sz w:val="20"/>
              </w:rPr>
              <w:t>4 M familles ; sorties durables non mesurées</w:t>
            </w:r>
            <w:r>
              <w:t xml:space="preserve"> </w:t>
            </w:r>
          </w:p>
        </w:tc>
        <w:tc>
          <w:tcPr>
            <w:tcW w:w="3113"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68416E27" w14:textId="77777777" w:rsidR="00CD748F" w:rsidRDefault="00426F7E">
            <w:pPr>
              <w:spacing w:after="0" w:line="259" w:lineRule="auto"/>
              <w:ind w:left="2" w:right="0" w:firstLine="0"/>
              <w:jc w:val="left"/>
            </w:pPr>
            <w:r>
              <w:rPr>
                <w:sz w:val="20"/>
              </w:rPr>
              <w:t>Output ≠ outcome</w:t>
            </w:r>
            <w:r>
              <w:t xml:space="preserve"> </w:t>
            </w:r>
          </w:p>
        </w:tc>
        <w:tc>
          <w:tcPr>
            <w:tcW w:w="1547"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312BAB4E" w14:textId="77777777" w:rsidR="00CD748F" w:rsidRDefault="00426F7E">
            <w:pPr>
              <w:spacing w:after="0" w:line="259" w:lineRule="auto"/>
              <w:ind w:left="2" w:right="0" w:firstLine="0"/>
              <w:jc w:val="left"/>
            </w:pPr>
            <w:r>
              <w:rPr>
                <w:sz w:val="20"/>
              </w:rPr>
              <w:t>Moyenne</w:t>
            </w:r>
            <w:r>
              <w:t xml:space="preserve"> </w:t>
            </w:r>
          </w:p>
        </w:tc>
      </w:tr>
      <w:tr w:rsidR="00CD748F" w14:paraId="7D7F6770" w14:textId="77777777">
        <w:trPr>
          <w:trHeight w:val="744"/>
        </w:trPr>
        <w:tc>
          <w:tcPr>
            <w:tcW w:w="1666" w:type="dxa"/>
            <w:tcBorders>
              <w:top w:val="single" w:sz="4" w:space="0" w:color="000000"/>
              <w:left w:val="single" w:sz="4" w:space="0" w:color="000000"/>
              <w:bottom w:val="single" w:sz="4" w:space="0" w:color="000000"/>
              <w:right w:val="single" w:sz="4" w:space="0" w:color="000000"/>
            </w:tcBorders>
            <w:vAlign w:val="center"/>
          </w:tcPr>
          <w:p w14:paraId="03BD23A3" w14:textId="77777777" w:rsidR="00CD748F" w:rsidRDefault="00426F7E">
            <w:pPr>
              <w:spacing w:after="0" w:line="259" w:lineRule="auto"/>
              <w:ind w:left="0" w:right="0" w:firstLine="0"/>
              <w:jc w:val="left"/>
            </w:pPr>
            <w:r>
              <w:rPr>
                <w:sz w:val="20"/>
              </w:rPr>
              <w:t>Al Haouz</w:t>
            </w:r>
            <w:r>
              <w:t xml:space="preserve"> </w:t>
            </w:r>
          </w:p>
        </w:tc>
        <w:tc>
          <w:tcPr>
            <w:tcW w:w="3635" w:type="dxa"/>
            <w:tcBorders>
              <w:top w:val="single" w:sz="4" w:space="0" w:color="000000"/>
              <w:left w:val="single" w:sz="4" w:space="0" w:color="000000"/>
              <w:bottom w:val="single" w:sz="4" w:space="0" w:color="000000"/>
              <w:right w:val="single" w:sz="4" w:space="0" w:color="000000"/>
            </w:tcBorders>
            <w:vAlign w:val="center"/>
          </w:tcPr>
          <w:p w14:paraId="0A0CDCA4" w14:textId="77777777" w:rsidR="00CD748F" w:rsidRDefault="00426F7E">
            <w:pPr>
              <w:spacing w:after="0" w:line="259" w:lineRule="auto"/>
              <w:ind w:left="2" w:right="0" w:firstLine="0"/>
            </w:pPr>
            <w:r>
              <w:rPr>
                <w:sz w:val="20"/>
              </w:rPr>
              <w:t>Reconstruction substantielle ; 120 Md DH non réconciliés</w:t>
            </w:r>
            <w:r>
              <w:t xml:space="preserve"> </w:t>
            </w:r>
          </w:p>
        </w:tc>
        <w:tc>
          <w:tcPr>
            <w:tcW w:w="3113" w:type="dxa"/>
            <w:tcBorders>
              <w:top w:val="single" w:sz="4" w:space="0" w:color="000000"/>
              <w:left w:val="single" w:sz="4" w:space="0" w:color="000000"/>
              <w:bottom w:val="single" w:sz="4" w:space="0" w:color="000000"/>
              <w:right w:val="single" w:sz="4" w:space="0" w:color="000000"/>
            </w:tcBorders>
            <w:vAlign w:val="center"/>
          </w:tcPr>
          <w:p w14:paraId="2A792A70" w14:textId="77777777" w:rsidR="00CD748F" w:rsidRDefault="00426F7E">
            <w:pPr>
              <w:spacing w:after="0" w:line="259" w:lineRule="auto"/>
              <w:ind w:left="2" w:right="0" w:firstLine="0"/>
            </w:pPr>
            <w:r>
              <w:rPr>
                <w:sz w:val="20"/>
              </w:rPr>
              <w:t>Résultat physique réel ; compte global incomplet</w:t>
            </w:r>
            <w:r>
              <w:t xml:space="preserve"> </w:t>
            </w:r>
          </w:p>
        </w:tc>
        <w:tc>
          <w:tcPr>
            <w:tcW w:w="1547" w:type="dxa"/>
            <w:tcBorders>
              <w:top w:val="single" w:sz="4" w:space="0" w:color="000000"/>
              <w:left w:val="single" w:sz="4" w:space="0" w:color="000000"/>
              <w:bottom w:val="single" w:sz="4" w:space="0" w:color="000000"/>
              <w:right w:val="single" w:sz="4" w:space="0" w:color="000000"/>
            </w:tcBorders>
            <w:vAlign w:val="center"/>
          </w:tcPr>
          <w:p w14:paraId="055DE0A2" w14:textId="77777777" w:rsidR="00CD748F" w:rsidRDefault="00426F7E">
            <w:pPr>
              <w:spacing w:after="0" w:line="259" w:lineRule="auto"/>
              <w:ind w:left="2" w:right="0" w:firstLine="0"/>
              <w:jc w:val="left"/>
            </w:pPr>
            <w:r>
              <w:rPr>
                <w:sz w:val="20"/>
              </w:rPr>
              <w:t>Forte/Moyenne</w:t>
            </w:r>
            <w:r>
              <w:t xml:space="preserve"> </w:t>
            </w:r>
          </w:p>
        </w:tc>
      </w:tr>
      <w:tr w:rsidR="00CD748F" w14:paraId="6E1E2CB7" w14:textId="77777777">
        <w:trPr>
          <w:trHeight w:val="848"/>
        </w:trPr>
        <w:tc>
          <w:tcPr>
            <w:tcW w:w="1666"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1BB0238F" w14:textId="77777777" w:rsidR="00CD748F" w:rsidRDefault="00426F7E">
            <w:pPr>
              <w:spacing w:after="0" w:line="259" w:lineRule="auto"/>
              <w:ind w:left="0" w:right="0" w:firstLine="0"/>
              <w:jc w:val="left"/>
            </w:pPr>
            <w:r>
              <w:rPr>
                <w:sz w:val="20"/>
              </w:rPr>
              <w:t>Tourisme</w:t>
            </w:r>
            <w:r>
              <w:t xml:space="preserve"> </w:t>
            </w:r>
          </w:p>
        </w:tc>
        <w:tc>
          <w:tcPr>
            <w:tcW w:w="3635"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4F50DFC4" w14:textId="77777777" w:rsidR="00CD748F" w:rsidRDefault="00426F7E">
            <w:pPr>
              <w:spacing w:after="10" w:line="259" w:lineRule="auto"/>
              <w:ind w:left="2" w:right="0" w:firstLine="0"/>
              <w:jc w:val="left"/>
            </w:pPr>
            <w:r>
              <w:rPr>
                <w:sz w:val="20"/>
              </w:rPr>
              <w:t xml:space="preserve">~20 M visiteurs ; 138 Md DH recettes en </w:t>
            </w:r>
          </w:p>
          <w:p w14:paraId="6CA55298" w14:textId="77777777" w:rsidR="00CD748F" w:rsidRDefault="00426F7E">
            <w:pPr>
              <w:spacing w:after="0" w:line="259" w:lineRule="auto"/>
              <w:ind w:left="2" w:right="0" w:firstLine="0"/>
              <w:jc w:val="left"/>
            </w:pPr>
            <w:r>
              <w:rPr>
                <w:sz w:val="20"/>
              </w:rPr>
              <w:t>2025</w:t>
            </w:r>
            <w:r>
              <w:t xml:space="preserve"> </w:t>
            </w:r>
          </w:p>
        </w:tc>
        <w:tc>
          <w:tcPr>
            <w:tcW w:w="3113" w:type="dxa"/>
            <w:tcBorders>
              <w:top w:val="single" w:sz="4" w:space="0" w:color="000000"/>
              <w:left w:val="single" w:sz="4" w:space="0" w:color="000000"/>
              <w:bottom w:val="single" w:sz="4" w:space="0" w:color="000000"/>
              <w:right w:val="single" w:sz="4" w:space="0" w:color="000000"/>
            </w:tcBorders>
            <w:shd w:val="clear" w:color="auto" w:fill="EEF3F7"/>
          </w:tcPr>
          <w:p w14:paraId="1D5E7CBE" w14:textId="77777777" w:rsidR="00CD748F" w:rsidRDefault="00426F7E">
            <w:pPr>
              <w:spacing w:after="0" w:line="259" w:lineRule="auto"/>
              <w:ind w:left="2" w:right="0" w:firstLine="0"/>
              <w:jc w:val="left"/>
            </w:pPr>
            <w:r>
              <w:rPr>
                <w:sz w:val="20"/>
              </w:rPr>
              <w:t xml:space="preserve">Très </w:t>
            </w:r>
            <w:r>
              <w:rPr>
                <w:sz w:val="20"/>
              </w:rPr>
              <w:tab/>
              <w:t xml:space="preserve">bonne </w:t>
            </w:r>
            <w:r>
              <w:rPr>
                <w:sz w:val="20"/>
              </w:rPr>
              <w:tab/>
              <w:t>performance touristique ; emploi à comparer à cible</w:t>
            </w:r>
            <w:r>
              <w:t xml:space="preserve"> </w:t>
            </w:r>
          </w:p>
        </w:tc>
        <w:tc>
          <w:tcPr>
            <w:tcW w:w="1547"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4CE451AD" w14:textId="77777777" w:rsidR="00CD748F" w:rsidRDefault="00426F7E">
            <w:pPr>
              <w:spacing w:after="0" w:line="259" w:lineRule="auto"/>
              <w:ind w:left="2" w:right="0" w:firstLine="0"/>
              <w:jc w:val="left"/>
            </w:pPr>
            <w:r>
              <w:rPr>
                <w:sz w:val="20"/>
              </w:rPr>
              <w:t>Forte</w:t>
            </w:r>
            <w:r>
              <w:t xml:space="preserve"> </w:t>
            </w:r>
          </w:p>
        </w:tc>
      </w:tr>
      <w:tr w:rsidR="00CD748F" w14:paraId="050D10DA" w14:textId="77777777">
        <w:trPr>
          <w:trHeight w:val="743"/>
        </w:trPr>
        <w:tc>
          <w:tcPr>
            <w:tcW w:w="1666" w:type="dxa"/>
            <w:tcBorders>
              <w:top w:val="single" w:sz="4" w:space="0" w:color="000000"/>
              <w:left w:val="single" w:sz="4" w:space="0" w:color="000000"/>
              <w:bottom w:val="single" w:sz="33" w:space="0" w:color="EEF3F7"/>
              <w:right w:val="single" w:sz="4" w:space="0" w:color="000000"/>
            </w:tcBorders>
            <w:vAlign w:val="center"/>
          </w:tcPr>
          <w:p w14:paraId="16A664A4" w14:textId="77777777" w:rsidR="00CD748F" w:rsidRDefault="00426F7E">
            <w:pPr>
              <w:spacing w:after="0" w:line="259" w:lineRule="auto"/>
              <w:ind w:left="0" w:right="0" w:firstLine="0"/>
              <w:jc w:val="left"/>
            </w:pPr>
            <w:r>
              <w:rPr>
                <w:sz w:val="20"/>
              </w:rPr>
              <w:t>Énergie</w:t>
            </w:r>
            <w:r>
              <w:t xml:space="preserve"> </w:t>
            </w:r>
          </w:p>
        </w:tc>
        <w:tc>
          <w:tcPr>
            <w:tcW w:w="3635" w:type="dxa"/>
            <w:tcBorders>
              <w:top w:val="single" w:sz="4" w:space="0" w:color="000000"/>
              <w:left w:val="single" w:sz="4" w:space="0" w:color="000000"/>
              <w:bottom w:val="single" w:sz="33" w:space="0" w:color="EEF3F7"/>
              <w:right w:val="single" w:sz="4" w:space="0" w:color="000000"/>
            </w:tcBorders>
            <w:vAlign w:val="center"/>
          </w:tcPr>
          <w:p w14:paraId="086F9A4F" w14:textId="77777777" w:rsidR="00CD748F" w:rsidRDefault="00426F7E">
            <w:pPr>
              <w:spacing w:after="0" w:line="259" w:lineRule="auto"/>
              <w:ind w:left="2" w:right="0" w:firstLine="0"/>
            </w:pPr>
            <w:r>
              <w:rPr>
                <w:sz w:val="20"/>
              </w:rPr>
              <w:t>Renouvelables en progression ; chiffres de capacité à réconcilier</w:t>
            </w:r>
            <w:r>
              <w:t xml:space="preserve"> </w:t>
            </w:r>
          </w:p>
        </w:tc>
        <w:tc>
          <w:tcPr>
            <w:tcW w:w="3113" w:type="dxa"/>
            <w:tcBorders>
              <w:top w:val="single" w:sz="4" w:space="0" w:color="000000"/>
              <w:left w:val="single" w:sz="4" w:space="0" w:color="000000"/>
              <w:bottom w:val="single" w:sz="33" w:space="0" w:color="EEF3F7"/>
              <w:right w:val="single" w:sz="4" w:space="0" w:color="000000"/>
            </w:tcBorders>
            <w:vAlign w:val="center"/>
          </w:tcPr>
          <w:p w14:paraId="3C7F7B0D" w14:textId="77777777" w:rsidR="00CD748F" w:rsidRDefault="00426F7E">
            <w:pPr>
              <w:spacing w:after="0" w:line="259" w:lineRule="auto"/>
              <w:ind w:left="2" w:right="0" w:firstLine="0"/>
            </w:pPr>
            <w:r>
              <w:rPr>
                <w:sz w:val="20"/>
              </w:rPr>
              <w:t>Performance réelle mais série institutionnelle à harmoniser</w:t>
            </w:r>
            <w:r>
              <w:t xml:space="preserve"> </w:t>
            </w:r>
          </w:p>
        </w:tc>
        <w:tc>
          <w:tcPr>
            <w:tcW w:w="1547" w:type="dxa"/>
            <w:tcBorders>
              <w:top w:val="single" w:sz="4" w:space="0" w:color="000000"/>
              <w:left w:val="single" w:sz="4" w:space="0" w:color="000000"/>
              <w:bottom w:val="single" w:sz="33" w:space="0" w:color="EEF3F7"/>
              <w:right w:val="single" w:sz="4" w:space="0" w:color="000000"/>
            </w:tcBorders>
            <w:vAlign w:val="center"/>
          </w:tcPr>
          <w:p w14:paraId="01A07DF7" w14:textId="77777777" w:rsidR="00CD748F" w:rsidRDefault="00426F7E">
            <w:pPr>
              <w:spacing w:after="0" w:line="259" w:lineRule="auto"/>
              <w:ind w:left="2" w:right="0" w:firstLine="0"/>
              <w:jc w:val="left"/>
            </w:pPr>
            <w:r>
              <w:rPr>
                <w:sz w:val="20"/>
              </w:rPr>
              <w:t>Forte/Moyenne</w:t>
            </w:r>
            <w:r>
              <w:t xml:space="preserve"> </w:t>
            </w:r>
          </w:p>
        </w:tc>
      </w:tr>
      <w:tr w:rsidR="00CD748F" w14:paraId="7EB16A51" w14:textId="77777777">
        <w:trPr>
          <w:trHeight w:val="615"/>
        </w:trPr>
        <w:tc>
          <w:tcPr>
            <w:tcW w:w="1666"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614C1D70" w14:textId="77777777" w:rsidR="00CD748F" w:rsidRDefault="00426F7E">
            <w:pPr>
              <w:spacing w:after="0" w:line="259" w:lineRule="auto"/>
              <w:ind w:left="0" w:right="0" w:firstLine="0"/>
              <w:jc w:val="left"/>
            </w:pPr>
            <w:r>
              <w:rPr>
                <w:sz w:val="20"/>
              </w:rPr>
              <w:t>Numérique</w:t>
            </w:r>
            <w:r>
              <w:t xml:space="preserve"> </w:t>
            </w:r>
          </w:p>
        </w:tc>
        <w:tc>
          <w:tcPr>
            <w:tcW w:w="3635" w:type="dxa"/>
            <w:tcBorders>
              <w:top w:val="single" w:sz="33" w:space="0" w:color="EEF3F7"/>
              <w:left w:val="single" w:sz="4" w:space="0" w:color="000000"/>
              <w:bottom w:val="single" w:sz="4" w:space="0" w:color="000000"/>
              <w:right w:val="single" w:sz="4" w:space="0" w:color="000000"/>
            </w:tcBorders>
            <w:shd w:val="clear" w:color="auto" w:fill="EEF3F7"/>
          </w:tcPr>
          <w:p w14:paraId="40123767" w14:textId="77777777" w:rsidR="00CD748F" w:rsidRDefault="00426F7E">
            <w:pPr>
              <w:spacing w:after="0" w:line="259" w:lineRule="auto"/>
              <w:ind w:left="2" w:right="0" w:firstLine="0"/>
            </w:pPr>
            <w:r>
              <w:rPr>
                <w:sz w:val="20"/>
              </w:rPr>
              <w:t>5G, 4G rural, services digitaux, investissement public en hausse</w:t>
            </w:r>
            <w:r>
              <w:t xml:space="preserve"> </w:t>
            </w:r>
          </w:p>
        </w:tc>
        <w:tc>
          <w:tcPr>
            <w:tcW w:w="3113" w:type="dxa"/>
            <w:tcBorders>
              <w:top w:val="single" w:sz="33" w:space="0" w:color="EEF3F7"/>
              <w:left w:val="single" w:sz="4" w:space="0" w:color="000000"/>
              <w:bottom w:val="single" w:sz="4" w:space="0" w:color="000000"/>
              <w:right w:val="single" w:sz="4" w:space="0" w:color="000000"/>
            </w:tcBorders>
            <w:shd w:val="clear" w:color="auto" w:fill="EEF3F7"/>
          </w:tcPr>
          <w:p w14:paraId="15E44742" w14:textId="77777777" w:rsidR="00CD748F" w:rsidRDefault="00426F7E">
            <w:pPr>
              <w:spacing w:after="0" w:line="259" w:lineRule="auto"/>
              <w:ind w:left="2" w:right="0" w:firstLine="0"/>
              <w:jc w:val="left"/>
            </w:pPr>
            <w:r>
              <w:rPr>
                <w:sz w:val="20"/>
              </w:rPr>
              <w:t>Transformation crédible ; impacts économiques encore à mesurer</w:t>
            </w:r>
            <w:r>
              <w:t xml:space="preserve"> </w:t>
            </w:r>
          </w:p>
        </w:tc>
        <w:tc>
          <w:tcPr>
            <w:tcW w:w="1547"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718E6479" w14:textId="77777777" w:rsidR="00CD748F" w:rsidRDefault="00426F7E">
            <w:pPr>
              <w:spacing w:after="0" w:line="259" w:lineRule="auto"/>
              <w:ind w:left="2" w:right="0" w:firstLine="0"/>
              <w:jc w:val="left"/>
            </w:pPr>
            <w:r>
              <w:rPr>
                <w:sz w:val="20"/>
              </w:rPr>
              <w:t>Moyenne/Forte</w:t>
            </w:r>
            <w:r>
              <w:t xml:space="preserve"> </w:t>
            </w:r>
          </w:p>
        </w:tc>
      </w:tr>
      <w:tr w:rsidR="00CD748F" w14:paraId="25FAB454" w14:textId="77777777">
        <w:trPr>
          <w:trHeight w:val="743"/>
        </w:trPr>
        <w:tc>
          <w:tcPr>
            <w:tcW w:w="1666" w:type="dxa"/>
            <w:tcBorders>
              <w:top w:val="single" w:sz="4" w:space="0" w:color="000000"/>
              <w:left w:val="single" w:sz="4" w:space="0" w:color="000000"/>
              <w:bottom w:val="single" w:sz="4" w:space="0" w:color="000000"/>
              <w:right w:val="single" w:sz="4" w:space="0" w:color="000000"/>
            </w:tcBorders>
            <w:vAlign w:val="center"/>
          </w:tcPr>
          <w:p w14:paraId="7748A912" w14:textId="77777777" w:rsidR="00CD748F" w:rsidRDefault="00426F7E">
            <w:pPr>
              <w:spacing w:after="0" w:line="259" w:lineRule="auto"/>
              <w:ind w:left="0" w:right="0" w:firstLine="0"/>
              <w:jc w:val="left"/>
            </w:pPr>
            <w:r>
              <w:rPr>
                <w:sz w:val="20"/>
              </w:rPr>
              <w:t>Hydrocarbures</w:t>
            </w:r>
            <w:r>
              <w:t xml:space="preserve"> </w:t>
            </w:r>
          </w:p>
        </w:tc>
        <w:tc>
          <w:tcPr>
            <w:tcW w:w="3635" w:type="dxa"/>
            <w:tcBorders>
              <w:top w:val="single" w:sz="4" w:space="0" w:color="000000"/>
              <w:left w:val="single" w:sz="4" w:space="0" w:color="000000"/>
              <w:bottom w:val="single" w:sz="4" w:space="0" w:color="000000"/>
              <w:right w:val="single" w:sz="4" w:space="0" w:color="000000"/>
            </w:tcBorders>
            <w:vAlign w:val="center"/>
          </w:tcPr>
          <w:p w14:paraId="398B1D49" w14:textId="77777777" w:rsidR="00CD748F" w:rsidRDefault="00426F7E">
            <w:pPr>
              <w:tabs>
                <w:tab w:val="right" w:pos="3491"/>
              </w:tabs>
              <w:spacing w:after="15" w:line="259" w:lineRule="auto"/>
              <w:ind w:left="0" w:right="0" w:firstLine="0"/>
              <w:jc w:val="left"/>
            </w:pPr>
            <w:r>
              <w:rPr>
                <w:sz w:val="20"/>
              </w:rPr>
              <w:t xml:space="preserve">Dysfonctionnement </w:t>
            </w:r>
            <w:r>
              <w:rPr>
                <w:sz w:val="20"/>
              </w:rPr>
              <w:tab/>
              <w:t xml:space="preserve">concurrentiel </w:t>
            </w:r>
          </w:p>
          <w:p w14:paraId="28EF5C34" w14:textId="77777777" w:rsidR="00CD748F" w:rsidRDefault="00426F7E">
            <w:pPr>
              <w:spacing w:after="0" w:line="259" w:lineRule="auto"/>
              <w:ind w:left="2" w:right="0" w:firstLine="0"/>
              <w:jc w:val="left"/>
            </w:pPr>
            <w:r>
              <w:rPr>
                <w:sz w:val="20"/>
              </w:rPr>
              <w:t>sanctionné</w:t>
            </w:r>
            <w:r>
              <w:t xml:space="preserve"> </w:t>
            </w:r>
          </w:p>
        </w:tc>
        <w:tc>
          <w:tcPr>
            <w:tcW w:w="3113" w:type="dxa"/>
            <w:tcBorders>
              <w:top w:val="single" w:sz="4" w:space="0" w:color="000000"/>
              <w:left w:val="single" w:sz="4" w:space="0" w:color="000000"/>
              <w:bottom w:val="single" w:sz="4" w:space="0" w:color="000000"/>
              <w:right w:val="single" w:sz="4" w:space="0" w:color="000000"/>
            </w:tcBorders>
            <w:vAlign w:val="center"/>
          </w:tcPr>
          <w:p w14:paraId="01B0F2D6" w14:textId="77777777" w:rsidR="00CD748F" w:rsidRDefault="00426F7E">
            <w:pPr>
              <w:spacing w:after="0" w:line="259" w:lineRule="auto"/>
              <w:ind w:left="2" w:right="0" w:firstLine="0"/>
              <w:jc w:val="left"/>
            </w:pPr>
            <w:r>
              <w:rPr>
                <w:sz w:val="20"/>
              </w:rPr>
              <w:t>Risque économique documenté</w:t>
            </w:r>
            <w:r>
              <w:t xml:space="preserve"> </w:t>
            </w:r>
          </w:p>
        </w:tc>
        <w:tc>
          <w:tcPr>
            <w:tcW w:w="1547" w:type="dxa"/>
            <w:tcBorders>
              <w:top w:val="single" w:sz="4" w:space="0" w:color="000000"/>
              <w:left w:val="single" w:sz="4" w:space="0" w:color="000000"/>
              <w:bottom w:val="single" w:sz="4" w:space="0" w:color="000000"/>
              <w:right w:val="single" w:sz="4" w:space="0" w:color="000000"/>
            </w:tcBorders>
            <w:vAlign w:val="center"/>
          </w:tcPr>
          <w:p w14:paraId="7C60BB34" w14:textId="77777777" w:rsidR="00CD748F" w:rsidRDefault="00426F7E">
            <w:pPr>
              <w:spacing w:after="0" w:line="259" w:lineRule="auto"/>
              <w:ind w:left="2" w:right="0" w:firstLine="0"/>
              <w:jc w:val="left"/>
            </w:pPr>
            <w:r>
              <w:rPr>
                <w:sz w:val="20"/>
              </w:rPr>
              <w:t>Forte</w:t>
            </w:r>
            <w:r>
              <w:t xml:space="preserve"> </w:t>
            </w:r>
          </w:p>
        </w:tc>
      </w:tr>
      <w:tr w:rsidR="00CD748F" w14:paraId="60F60C36" w14:textId="77777777">
        <w:trPr>
          <w:trHeight w:val="381"/>
        </w:trPr>
        <w:tc>
          <w:tcPr>
            <w:tcW w:w="1666" w:type="dxa"/>
            <w:tcBorders>
              <w:top w:val="single" w:sz="4" w:space="0" w:color="000000"/>
              <w:left w:val="single" w:sz="4" w:space="0" w:color="000000"/>
              <w:bottom w:val="single" w:sz="4" w:space="0" w:color="000000"/>
              <w:right w:val="single" w:sz="4" w:space="0" w:color="000000"/>
            </w:tcBorders>
            <w:shd w:val="clear" w:color="auto" w:fill="EEF3F7"/>
          </w:tcPr>
          <w:p w14:paraId="1DE4BD47" w14:textId="77777777" w:rsidR="00CD748F" w:rsidRDefault="00426F7E">
            <w:pPr>
              <w:spacing w:after="0" w:line="259" w:lineRule="auto"/>
              <w:ind w:left="0" w:right="0" w:firstLine="0"/>
              <w:jc w:val="left"/>
            </w:pPr>
            <w:r>
              <w:rPr>
                <w:sz w:val="20"/>
              </w:rPr>
              <w:t>Gouvernance</w:t>
            </w:r>
            <w:r>
              <w:t xml:space="preserve"> </w:t>
            </w:r>
          </w:p>
        </w:tc>
        <w:tc>
          <w:tcPr>
            <w:tcW w:w="3635" w:type="dxa"/>
            <w:tcBorders>
              <w:top w:val="single" w:sz="4" w:space="0" w:color="000000"/>
              <w:left w:val="single" w:sz="4" w:space="0" w:color="000000"/>
              <w:bottom w:val="single" w:sz="4" w:space="0" w:color="000000"/>
              <w:right w:val="single" w:sz="4" w:space="0" w:color="000000"/>
            </w:tcBorders>
            <w:shd w:val="clear" w:color="auto" w:fill="EEF3F7"/>
          </w:tcPr>
          <w:p w14:paraId="6B3E208F" w14:textId="77777777" w:rsidR="00CD748F" w:rsidRDefault="00426F7E">
            <w:pPr>
              <w:spacing w:after="0" w:line="259" w:lineRule="auto"/>
              <w:ind w:left="2" w:right="0" w:firstLine="0"/>
              <w:jc w:val="left"/>
            </w:pPr>
            <w:r>
              <w:rPr>
                <w:sz w:val="20"/>
              </w:rPr>
              <w:t>18 % des 300 recommandations closes</w:t>
            </w:r>
            <w:r>
              <w:t xml:space="preserve"> </w:t>
            </w:r>
          </w:p>
        </w:tc>
        <w:tc>
          <w:tcPr>
            <w:tcW w:w="3113" w:type="dxa"/>
            <w:tcBorders>
              <w:top w:val="single" w:sz="4" w:space="0" w:color="000000"/>
              <w:left w:val="single" w:sz="4" w:space="0" w:color="000000"/>
              <w:bottom w:val="single" w:sz="4" w:space="0" w:color="000000"/>
              <w:right w:val="single" w:sz="4" w:space="0" w:color="000000"/>
            </w:tcBorders>
            <w:shd w:val="clear" w:color="auto" w:fill="EEF3F7"/>
          </w:tcPr>
          <w:p w14:paraId="49741100" w14:textId="77777777" w:rsidR="00CD748F" w:rsidRDefault="00426F7E">
            <w:pPr>
              <w:spacing w:after="0" w:line="259" w:lineRule="auto"/>
              <w:ind w:left="2" w:right="0" w:firstLine="0"/>
              <w:jc w:val="left"/>
            </w:pPr>
            <w:r>
              <w:rPr>
                <w:sz w:val="20"/>
              </w:rPr>
              <w:t>Faible vitesse de correction</w:t>
            </w:r>
            <w:r>
              <w:t xml:space="preserve"> </w:t>
            </w:r>
          </w:p>
        </w:tc>
        <w:tc>
          <w:tcPr>
            <w:tcW w:w="1547" w:type="dxa"/>
            <w:tcBorders>
              <w:top w:val="single" w:sz="4" w:space="0" w:color="000000"/>
              <w:left w:val="single" w:sz="4" w:space="0" w:color="000000"/>
              <w:bottom w:val="single" w:sz="4" w:space="0" w:color="000000"/>
              <w:right w:val="single" w:sz="4" w:space="0" w:color="000000"/>
            </w:tcBorders>
            <w:shd w:val="clear" w:color="auto" w:fill="EEF3F7"/>
          </w:tcPr>
          <w:p w14:paraId="04BCFB01" w14:textId="77777777" w:rsidR="00CD748F" w:rsidRDefault="00426F7E">
            <w:pPr>
              <w:spacing w:after="0" w:line="259" w:lineRule="auto"/>
              <w:ind w:left="2" w:right="0" w:firstLine="0"/>
              <w:jc w:val="left"/>
            </w:pPr>
            <w:r>
              <w:rPr>
                <w:sz w:val="20"/>
              </w:rPr>
              <w:t>Forte</w:t>
            </w:r>
            <w:r>
              <w:t xml:space="preserve"> </w:t>
            </w:r>
          </w:p>
        </w:tc>
      </w:tr>
    </w:tbl>
    <w:p w14:paraId="5A3F4BF5" w14:textId="77777777" w:rsidR="00CD748F" w:rsidRDefault="00426F7E">
      <w:pPr>
        <w:spacing w:after="46" w:line="259" w:lineRule="auto"/>
        <w:ind w:left="0" w:right="0" w:firstLine="0"/>
        <w:jc w:val="left"/>
      </w:pPr>
      <w:r>
        <w:t xml:space="preserve"> </w:t>
      </w:r>
    </w:p>
    <w:p w14:paraId="4951D5C3" w14:textId="77777777" w:rsidR="00CD748F" w:rsidRDefault="00426F7E">
      <w:pPr>
        <w:spacing w:after="0" w:line="259" w:lineRule="auto"/>
        <w:ind w:left="0" w:right="0" w:firstLine="0"/>
        <w:jc w:val="left"/>
      </w:pPr>
      <w:r>
        <w:t xml:space="preserve"> </w:t>
      </w:r>
      <w:r>
        <w:tab/>
        <w:t xml:space="preserve"> </w:t>
      </w:r>
    </w:p>
    <w:p w14:paraId="638278EC" w14:textId="77777777" w:rsidR="00CD748F" w:rsidRDefault="00426F7E">
      <w:pPr>
        <w:pStyle w:val="Titre2"/>
        <w:spacing w:after="0" w:line="259" w:lineRule="auto"/>
        <w:ind w:left="-5"/>
      </w:pPr>
      <w:r>
        <w:t xml:space="preserve">II. PÉRIMÈTRE, MÉTHODOLOGIE ET RÉFÉRENTIEL </w:t>
      </w:r>
      <w:r>
        <w:t>D’AUDIT</w:t>
      </w:r>
      <w:r>
        <w:t xml:space="preserve"> </w:t>
      </w:r>
    </w:p>
    <w:p w14:paraId="1F65E2D5" w14:textId="77777777" w:rsidR="00CD748F" w:rsidRDefault="00426F7E">
      <w:pPr>
        <w:spacing w:after="144" w:line="261" w:lineRule="auto"/>
        <w:ind w:left="-5" w:right="0"/>
      </w:pPr>
      <w:r>
        <w:rPr>
          <w:rFonts w:cs="Cambria"/>
        </w:rPr>
        <w:t xml:space="preserve">Le mandat commence politiquement en octobre 2021. L’année civile 2021 ne peut être attribuée </w:t>
      </w:r>
      <w:r>
        <w:t xml:space="preserve">mécaniquement au gouvernement sortant puisque la majeure partie des résultats statistiques de </w:t>
      </w:r>
      <w:r>
        <w:rPr>
          <w:rFonts w:cs="Cambria"/>
        </w:rPr>
        <w:t>l’année précède son entrée en fonction. Pour cette raison, les séries</w:t>
      </w:r>
      <w:r>
        <w:t xml:space="preserve"> annuelles sont utilisées à partir </w:t>
      </w:r>
      <w:r>
        <w:rPr>
          <w:rFonts w:cs="Cambria"/>
        </w:rPr>
        <w:t>de 2022 lorsqu’il s’agit de mesurer la responsabilité sur le mandat. 2026 est une année de transition institutionnelle et statistique : l’Enquête nationale sur l’emploi a été remplacée par l’Enquête sur la main</w:t>
      </w:r>
      <w:r>
        <w:t>-</w:t>
      </w:r>
      <w:r>
        <w:rPr>
          <w:rFonts w:cs="Cambria"/>
        </w:rPr>
        <w:t xml:space="preserve">d’œuvre, ce qui interdit d’additionner sans raccordement définitif les </w:t>
      </w:r>
      <w:r>
        <w:t>anciennes et nouvelles séries. [</w:t>
      </w:r>
      <w:r>
        <w:t xml:space="preserve">F1][F2] </w:t>
      </w:r>
    </w:p>
    <w:p w14:paraId="22BBCAD7" w14:textId="77777777" w:rsidR="00CD748F" w:rsidRDefault="00426F7E">
      <w:pPr>
        <w:ind w:left="-5" w:right="0"/>
      </w:pPr>
      <w:r>
        <w:rPr>
          <w:rFonts w:cs="Cambria"/>
        </w:rPr>
        <w:t xml:space="preserve">Le référentiel d’audit comporte sept tests. Premier test : définition et unité   le chiffre politique </w:t>
      </w:r>
      <w:r>
        <w:t xml:space="preserve">mesure-t-il la même chose que la cible ? Deuxième : période   couvre-t-il le même horizon ? Troisième : dénominateur   utilise-t-il la même population, le même périmètre territorial et le même concept ? Quatrième : budget   peut-on relier les crédits au programme et au résultat ? Cinquième : output   le livrable existe-t-il ? Sixième : outcome   le livrable a-t-il amélioré réellement la situation ? Septième : attribution   peut-on relier le résultat à la politique sans lui attribuer abusivement un effet dû </w:t>
      </w:r>
      <w:r>
        <w:t xml:space="preserve">au contexte ? [F3] </w:t>
      </w:r>
    </w:p>
    <w:p w14:paraId="19615C32" w14:textId="77777777" w:rsidR="00CD748F" w:rsidRDefault="00426F7E">
      <w:pPr>
        <w:spacing w:after="278" w:line="261" w:lineRule="auto"/>
        <w:ind w:left="-5" w:right="0"/>
      </w:pPr>
      <w:r>
        <w:t xml:space="preserve">Les sources sont hiérarchisées. Les statistiques du HCP, les décisions du Conseil de la concurrence, </w:t>
      </w:r>
      <w:r>
        <w:rPr>
          <w:rFonts w:cs="Cambria"/>
        </w:rPr>
        <w:t>les rapports de la Cour des comptes, les publications de l’Office des Changes et les indicateurs de l’ANRT/ANRE sont considérés comme données de référence.</w:t>
      </w:r>
      <w:r>
        <w:t xml:space="preserve"> Les bilans gouvernementaux et </w:t>
      </w:r>
      <w:r>
        <w:rPr>
          <w:rFonts w:cs="Cambria"/>
        </w:rPr>
        <w:t xml:space="preserve">déclarations ministérielles sont retenus comme preuves de l’action ou de la communication </w:t>
      </w:r>
      <w:r>
        <w:t xml:space="preserve">administrative, mais ne remplacent pas une mesure indépendante du résultat. Les articles de </w:t>
      </w:r>
      <w:r>
        <w:rPr>
          <w:rFonts w:cs="Cambria"/>
        </w:rPr>
        <w:t>presse ne servent qu’à documenter une contr</w:t>
      </w:r>
      <w:r>
        <w:t xml:space="preserve">overse, jamais à établir seuls une fraude. </w:t>
      </w:r>
    </w:p>
    <w:p w14:paraId="471AA595" w14:textId="77777777" w:rsidR="00CD748F" w:rsidRDefault="00426F7E">
      <w:pPr>
        <w:pStyle w:val="Titre3"/>
        <w:spacing w:after="0"/>
        <w:ind w:left="-5"/>
      </w:pPr>
      <w:r>
        <w:t xml:space="preserve">Tests de cohérence appliqués </w:t>
      </w:r>
    </w:p>
    <w:tbl>
      <w:tblPr>
        <w:tblStyle w:val="TableGrid"/>
        <w:tblW w:w="9961" w:type="dxa"/>
        <w:tblInd w:w="7" w:type="dxa"/>
        <w:tblCellMar>
          <w:top w:w="83" w:type="dxa"/>
          <w:left w:w="0" w:type="dxa"/>
          <w:bottom w:w="0" w:type="dxa"/>
          <w:right w:w="56" w:type="dxa"/>
        </w:tblCellMar>
        <w:tblLook w:val="04A0" w:firstRow="1" w:lastRow="0" w:firstColumn="1" w:lastColumn="0" w:noHBand="0" w:noVBand="1"/>
      </w:tblPr>
      <w:tblGrid>
        <w:gridCol w:w="1606"/>
        <w:gridCol w:w="1892"/>
        <w:gridCol w:w="312"/>
        <w:gridCol w:w="3108"/>
        <w:gridCol w:w="3043"/>
      </w:tblGrid>
      <w:tr w:rsidR="00CD748F" w14:paraId="4A4D4923" w14:textId="77777777">
        <w:trPr>
          <w:trHeight w:val="374"/>
        </w:trPr>
        <w:tc>
          <w:tcPr>
            <w:tcW w:w="1606" w:type="dxa"/>
            <w:tcBorders>
              <w:top w:val="single" w:sz="4" w:space="0" w:color="000000"/>
              <w:left w:val="single" w:sz="4" w:space="0" w:color="000000"/>
              <w:bottom w:val="single" w:sz="4" w:space="0" w:color="000000"/>
              <w:right w:val="single" w:sz="4" w:space="0" w:color="000000"/>
            </w:tcBorders>
            <w:shd w:val="clear" w:color="auto" w:fill="163A5F"/>
          </w:tcPr>
          <w:p w14:paraId="644F208A" w14:textId="77777777" w:rsidR="00CD748F" w:rsidRDefault="00426F7E">
            <w:pPr>
              <w:spacing w:after="0" w:line="259" w:lineRule="auto"/>
              <w:ind w:left="99" w:right="0" w:firstLine="0"/>
              <w:jc w:val="left"/>
            </w:pPr>
            <w:r>
              <w:rPr>
                <w:b/>
                <w:color w:val="FFFFFF"/>
                <w:sz w:val="20"/>
              </w:rPr>
              <w:t>Test</w:t>
            </w:r>
            <w:r>
              <w:rPr>
                <w:color w:val="FFFFFF"/>
              </w:rPr>
              <w:t xml:space="preserve"> </w:t>
            </w:r>
          </w:p>
        </w:tc>
        <w:tc>
          <w:tcPr>
            <w:tcW w:w="1892" w:type="dxa"/>
            <w:tcBorders>
              <w:top w:val="single" w:sz="4" w:space="0" w:color="000000"/>
              <w:left w:val="single" w:sz="4" w:space="0" w:color="000000"/>
              <w:bottom w:val="single" w:sz="4" w:space="0" w:color="000000"/>
              <w:right w:val="nil"/>
            </w:tcBorders>
            <w:shd w:val="clear" w:color="auto" w:fill="163A5F"/>
          </w:tcPr>
          <w:p w14:paraId="4AA03F0D" w14:textId="77777777" w:rsidR="00CD748F" w:rsidRDefault="00426F7E">
            <w:pPr>
              <w:spacing w:after="0" w:line="259" w:lineRule="auto"/>
              <w:ind w:left="98" w:right="0" w:firstLine="0"/>
              <w:jc w:val="left"/>
            </w:pPr>
            <w:r>
              <w:rPr>
                <w:b/>
                <w:color w:val="FFFFFF"/>
                <w:sz w:val="20"/>
              </w:rPr>
              <w:t>Question</w:t>
            </w:r>
            <w:r>
              <w:rPr>
                <w:color w:val="FFFFFF"/>
              </w:rPr>
              <w:t xml:space="preserve"> </w:t>
            </w:r>
          </w:p>
        </w:tc>
        <w:tc>
          <w:tcPr>
            <w:tcW w:w="312" w:type="dxa"/>
            <w:tcBorders>
              <w:top w:val="single" w:sz="4" w:space="0" w:color="000000"/>
              <w:left w:val="nil"/>
              <w:bottom w:val="single" w:sz="4" w:space="0" w:color="000000"/>
              <w:right w:val="single" w:sz="4" w:space="0" w:color="000000"/>
            </w:tcBorders>
            <w:shd w:val="clear" w:color="auto" w:fill="163A5F"/>
          </w:tcPr>
          <w:p w14:paraId="009FA54D" w14:textId="77777777" w:rsidR="00CD748F" w:rsidRDefault="00CD748F">
            <w:pPr>
              <w:spacing w:after="160" w:line="259" w:lineRule="auto"/>
              <w:ind w:left="0" w:right="0" w:firstLine="0"/>
              <w:jc w:val="left"/>
            </w:pPr>
          </w:p>
        </w:tc>
        <w:tc>
          <w:tcPr>
            <w:tcW w:w="3108" w:type="dxa"/>
            <w:tcBorders>
              <w:top w:val="single" w:sz="4" w:space="0" w:color="000000"/>
              <w:left w:val="single" w:sz="4" w:space="0" w:color="000000"/>
              <w:bottom w:val="single" w:sz="4" w:space="0" w:color="000000"/>
              <w:right w:val="single" w:sz="4" w:space="0" w:color="000000"/>
            </w:tcBorders>
            <w:shd w:val="clear" w:color="auto" w:fill="163A5F"/>
          </w:tcPr>
          <w:p w14:paraId="07952AB5" w14:textId="77777777" w:rsidR="00CD748F" w:rsidRDefault="00426F7E">
            <w:pPr>
              <w:spacing w:after="0" w:line="259" w:lineRule="auto"/>
              <w:ind w:left="99" w:right="0" w:firstLine="0"/>
              <w:jc w:val="left"/>
            </w:pPr>
            <w:r>
              <w:rPr>
                <w:b/>
                <w:color w:val="FFFFFF"/>
                <w:sz w:val="20"/>
              </w:rPr>
              <w:t>Exemple dans le mandat</w:t>
            </w:r>
            <w:r>
              <w:rPr>
                <w:color w:val="FFFFFF"/>
              </w:rPr>
              <w:t xml:space="preserve"> </w:t>
            </w:r>
          </w:p>
        </w:tc>
        <w:tc>
          <w:tcPr>
            <w:tcW w:w="3043" w:type="dxa"/>
            <w:tcBorders>
              <w:top w:val="single" w:sz="4" w:space="0" w:color="000000"/>
              <w:left w:val="single" w:sz="4" w:space="0" w:color="000000"/>
              <w:bottom w:val="single" w:sz="4" w:space="0" w:color="000000"/>
              <w:right w:val="single" w:sz="4" w:space="0" w:color="000000"/>
            </w:tcBorders>
            <w:shd w:val="clear" w:color="auto" w:fill="163A5F"/>
          </w:tcPr>
          <w:p w14:paraId="009409EC" w14:textId="77777777" w:rsidR="00CD748F" w:rsidRDefault="00426F7E">
            <w:pPr>
              <w:spacing w:after="0" w:line="259" w:lineRule="auto"/>
              <w:ind w:left="101" w:right="0" w:firstLine="0"/>
              <w:jc w:val="left"/>
            </w:pPr>
            <w:r>
              <w:rPr>
                <w:b/>
                <w:color w:val="FFFFFF"/>
                <w:sz w:val="20"/>
              </w:rPr>
              <w:t>Conséquence</w:t>
            </w:r>
            <w:r>
              <w:rPr>
                <w:color w:val="FFFFFF"/>
              </w:rPr>
              <w:t xml:space="preserve"> </w:t>
            </w:r>
          </w:p>
        </w:tc>
      </w:tr>
      <w:tr w:rsidR="00CD748F" w14:paraId="178CE59A" w14:textId="77777777">
        <w:trPr>
          <w:trHeight w:val="647"/>
        </w:trPr>
        <w:tc>
          <w:tcPr>
            <w:tcW w:w="1606"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11FB8DDC" w14:textId="77777777" w:rsidR="00CD748F" w:rsidRDefault="00426F7E">
            <w:pPr>
              <w:spacing w:after="0" w:line="259" w:lineRule="auto"/>
              <w:ind w:left="99" w:right="0" w:firstLine="0"/>
              <w:jc w:val="left"/>
            </w:pPr>
            <w:r>
              <w:rPr>
                <w:sz w:val="20"/>
              </w:rPr>
              <w:t>Définition</w:t>
            </w:r>
            <w:r>
              <w:t xml:space="preserve"> </w:t>
            </w:r>
          </w:p>
        </w:tc>
        <w:tc>
          <w:tcPr>
            <w:tcW w:w="1892" w:type="dxa"/>
            <w:tcBorders>
              <w:top w:val="single" w:sz="4" w:space="0" w:color="000000"/>
              <w:left w:val="single" w:sz="4" w:space="0" w:color="000000"/>
              <w:bottom w:val="single" w:sz="4" w:space="0" w:color="000000"/>
              <w:right w:val="nil"/>
            </w:tcBorders>
            <w:shd w:val="clear" w:color="auto" w:fill="EEF3F7"/>
            <w:vAlign w:val="center"/>
          </w:tcPr>
          <w:p w14:paraId="7A7DF8DA" w14:textId="77777777" w:rsidR="00CD748F" w:rsidRDefault="00426F7E">
            <w:pPr>
              <w:spacing w:after="0" w:line="259" w:lineRule="auto"/>
              <w:ind w:left="98" w:right="0" w:firstLine="0"/>
              <w:jc w:val="left"/>
            </w:pPr>
            <w:r>
              <w:rPr>
                <w:sz w:val="20"/>
              </w:rPr>
              <w:t>Même indicateur ?</w:t>
            </w:r>
            <w:r>
              <w:t xml:space="preserve"> </w:t>
            </w:r>
          </w:p>
        </w:tc>
        <w:tc>
          <w:tcPr>
            <w:tcW w:w="312" w:type="dxa"/>
            <w:tcBorders>
              <w:top w:val="single" w:sz="4" w:space="0" w:color="000000"/>
              <w:left w:val="nil"/>
              <w:bottom w:val="single" w:sz="4" w:space="0" w:color="000000"/>
              <w:right w:val="single" w:sz="4" w:space="0" w:color="000000"/>
            </w:tcBorders>
            <w:shd w:val="clear" w:color="auto" w:fill="EEF3F7"/>
          </w:tcPr>
          <w:p w14:paraId="4DC0AB6C" w14:textId="77777777" w:rsidR="00CD748F" w:rsidRDefault="00CD748F">
            <w:pPr>
              <w:spacing w:after="160" w:line="259" w:lineRule="auto"/>
              <w:ind w:left="0" w:right="0" w:firstLine="0"/>
              <w:jc w:val="left"/>
            </w:pPr>
          </w:p>
        </w:tc>
        <w:tc>
          <w:tcPr>
            <w:tcW w:w="3108" w:type="dxa"/>
            <w:tcBorders>
              <w:top w:val="single" w:sz="4" w:space="0" w:color="000000"/>
              <w:left w:val="single" w:sz="4" w:space="0" w:color="000000"/>
              <w:bottom w:val="single" w:sz="4" w:space="0" w:color="000000"/>
              <w:right w:val="single" w:sz="4" w:space="0" w:color="000000"/>
            </w:tcBorders>
            <w:shd w:val="clear" w:color="auto" w:fill="EEF3F7"/>
          </w:tcPr>
          <w:p w14:paraId="737D1B2F" w14:textId="77777777" w:rsidR="00CD748F" w:rsidRDefault="00426F7E">
            <w:pPr>
              <w:spacing w:after="0" w:line="259" w:lineRule="auto"/>
              <w:ind w:left="99" w:right="0" w:firstLine="0"/>
            </w:pPr>
            <w:r>
              <w:rPr>
                <w:sz w:val="20"/>
              </w:rPr>
              <w:t xml:space="preserve">850k emplois non agricoles / </w:t>
            </w:r>
            <w:r>
              <w:rPr>
                <w:sz w:val="20"/>
              </w:rPr>
              <w:t>million d’emplois nets</w:t>
            </w:r>
            <w:r>
              <w:t xml:space="preserve"> </w:t>
            </w:r>
          </w:p>
        </w:tc>
        <w:tc>
          <w:tcPr>
            <w:tcW w:w="3043" w:type="dxa"/>
            <w:tcBorders>
              <w:top w:val="single" w:sz="4" w:space="0" w:color="000000"/>
              <w:left w:val="single" w:sz="4" w:space="0" w:color="000000"/>
              <w:bottom w:val="single" w:sz="4" w:space="0" w:color="000000"/>
              <w:right w:val="single" w:sz="4" w:space="0" w:color="000000"/>
            </w:tcBorders>
            <w:shd w:val="clear" w:color="auto" w:fill="EEF3F7"/>
          </w:tcPr>
          <w:p w14:paraId="2188C8D2" w14:textId="77777777" w:rsidR="00CD748F" w:rsidRDefault="00426F7E">
            <w:pPr>
              <w:spacing w:after="0" w:line="259" w:lineRule="auto"/>
              <w:ind w:left="101" w:right="0" w:firstLine="0"/>
              <w:jc w:val="left"/>
            </w:pPr>
            <w:r>
              <w:rPr>
                <w:sz w:val="20"/>
              </w:rPr>
              <w:t>Le chiffre 850k ne certifie pas la promesse</w:t>
            </w:r>
            <w:r>
              <w:t xml:space="preserve"> </w:t>
            </w:r>
          </w:p>
        </w:tc>
      </w:tr>
      <w:tr w:rsidR="00CD748F" w14:paraId="4C69CC2F" w14:textId="77777777">
        <w:trPr>
          <w:trHeight w:val="743"/>
        </w:trPr>
        <w:tc>
          <w:tcPr>
            <w:tcW w:w="1606" w:type="dxa"/>
            <w:tcBorders>
              <w:top w:val="single" w:sz="4" w:space="0" w:color="000000"/>
              <w:left w:val="single" w:sz="4" w:space="0" w:color="000000"/>
              <w:bottom w:val="single" w:sz="4" w:space="0" w:color="000000"/>
              <w:right w:val="single" w:sz="4" w:space="0" w:color="000000"/>
            </w:tcBorders>
            <w:vAlign w:val="center"/>
          </w:tcPr>
          <w:p w14:paraId="1350F919" w14:textId="77777777" w:rsidR="00CD748F" w:rsidRDefault="00426F7E">
            <w:pPr>
              <w:spacing w:after="0" w:line="259" w:lineRule="auto"/>
              <w:ind w:left="99" w:right="0" w:firstLine="0"/>
              <w:jc w:val="left"/>
            </w:pPr>
            <w:r>
              <w:rPr>
                <w:sz w:val="20"/>
              </w:rPr>
              <w:t>Dénominateur</w:t>
            </w:r>
            <w:r>
              <w:t xml:space="preserve"> </w:t>
            </w:r>
          </w:p>
        </w:tc>
        <w:tc>
          <w:tcPr>
            <w:tcW w:w="1892" w:type="dxa"/>
            <w:tcBorders>
              <w:top w:val="single" w:sz="4" w:space="0" w:color="000000"/>
              <w:left w:val="single" w:sz="4" w:space="0" w:color="000000"/>
              <w:bottom w:val="single" w:sz="4" w:space="0" w:color="000000"/>
              <w:right w:val="nil"/>
            </w:tcBorders>
            <w:vAlign w:val="center"/>
          </w:tcPr>
          <w:p w14:paraId="2470F7BF" w14:textId="77777777" w:rsidR="00CD748F" w:rsidRDefault="00426F7E">
            <w:pPr>
              <w:spacing w:after="0" w:line="259" w:lineRule="auto"/>
              <w:ind w:left="98" w:right="0" w:firstLine="0"/>
              <w:jc w:val="left"/>
            </w:pPr>
            <w:r>
              <w:rPr>
                <w:sz w:val="20"/>
              </w:rPr>
              <w:t>Même base ?</w:t>
            </w:r>
            <w:r>
              <w:t xml:space="preserve"> </w:t>
            </w:r>
          </w:p>
        </w:tc>
        <w:tc>
          <w:tcPr>
            <w:tcW w:w="312" w:type="dxa"/>
            <w:tcBorders>
              <w:top w:val="single" w:sz="4" w:space="0" w:color="000000"/>
              <w:left w:val="nil"/>
              <w:bottom w:val="single" w:sz="4" w:space="0" w:color="000000"/>
              <w:right w:val="single" w:sz="4" w:space="0" w:color="000000"/>
            </w:tcBorders>
          </w:tcPr>
          <w:p w14:paraId="1CDD0EB0" w14:textId="77777777" w:rsidR="00CD748F" w:rsidRDefault="00CD748F">
            <w:pPr>
              <w:spacing w:after="160" w:line="259" w:lineRule="auto"/>
              <w:ind w:left="0" w:right="0" w:firstLine="0"/>
              <w:jc w:val="left"/>
            </w:pPr>
          </w:p>
        </w:tc>
        <w:tc>
          <w:tcPr>
            <w:tcW w:w="3108" w:type="dxa"/>
            <w:tcBorders>
              <w:top w:val="single" w:sz="4" w:space="0" w:color="000000"/>
              <w:left w:val="single" w:sz="4" w:space="0" w:color="000000"/>
              <w:bottom w:val="single" w:sz="4" w:space="0" w:color="000000"/>
              <w:right w:val="single" w:sz="4" w:space="0" w:color="000000"/>
            </w:tcBorders>
            <w:vAlign w:val="center"/>
          </w:tcPr>
          <w:p w14:paraId="67894788" w14:textId="77777777" w:rsidR="00CD748F" w:rsidRDefault="00426F7E">
            <w:pPr>
              <w:spacing w:after="12" w:line="259" w:lineRule="auto"/>
              <w:ind w:left="99" w:right="0" w:firstLine="0"/>
              <w:jc w:val="left"/>
            </w:pPr>
            <w:r>
              <w:rPr>
                <w:sz w:val="20"/>
              </w:rPr>
              <w:t xml:space="preserve">101,2 % crédits initiaux / 78 % </w:t>
            </w:r>
          </w:p>
          <w:p w14:paraId="188A2532" w14:textId="77777777" w:rsidR="00CD748F" w:rsidRDefault="00426F7E">
            <w:pPr>
              <w:spacing w:after="0" w:line="259" w:lineRule="auto"/>
              <w:ind w:left="99" w:right="0" w:firstLine="0"/>
              <w:jc w:val="left"/>
            </w:pPr>
            <w:r>
              <w:rPr>
                <w:sz w:val="20"/>
              </w:rPr>
              <w:t>crédits définitifs</w:t>
            </w:r>
            <w:r>
              <w:t xml:space="preserve"> </w:t>
            </w:r>
          </w:p>
        </w:tc>
        <w:tc>
          <w:tcPr>
            <w:tcW w:w="3043" w:type="dxa"/>
            <w:tcBorders>
              <w:top w:val="single" w:sz="4" w:space="0" w:color="000000"/>
              <w:left w:val="single" w:sz="4" w:space="0" w:color="000000"/>
              <w:bottom w:val="single" w:sz="4" w:space="0" w:color="000000"/>
              <w:right w:val="single" w:sz="4" w:space="0" w:color="000000"/>
            </w:tcBorders>
            <w:vAlign w:val="center"/>
          </w:tcPr>
          <w:p w14:paraId="06C19B27" w14:textId="77777777" w:rsidR="00CD748F" w:rsidRDefault="00426F7E">
            <w:pPr>
              <w:spacing w:after="0" w:line="259" w:lineRule="auto"/>
              <w:ind w:left="101" w:right="0" w:firstLine="0"/>
              <w:jc w:val="left"/>
            </w:pPr>
            <w:r>
              <w:rPr>
                <w:sz w:val="20"/>
              </w:rPr>
              <w:t>Les deux sont vrais mais non équivalents</w:t>
            </w:r>
            <w:r>
              <w:t xml:space="preserve"> </w:t>
            </w:r>
          </w:p>
        </w:tc>
      </w:tr>
      <w:tr w:rsidR="00CD748F" w14:paraId="6CE3948C" w14:textId="77777777">
        <w:trPr>
          <w:trHeight w:val="613"/>
        </w:trPr>
        <w:tc>
          <w:tcPr>
            <w:tcW w:w="1606"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11CAF694" w14:textId="77777777" w:rsidR="00CD748F" w:rsidRDefault="00426F7E">
            <w:pPr>
              <w:spacing w:after="0" w:line="259" w:lineRule="auto"/>
              <w:ind w:left="99" w:right="0" w:firstLine="0"/>
              <w:jc w:val="left"/>
            </w:pPr>
            <w:r>
              <w:rPr>
                <w:sz w:val="20"/>
              </w:rPr>
              <w:t>Stock / flux</w:t>
            </w:r>
            <w:r>
              <w:t xml:space="preserve"> </w:t>
            </w:r>
          </w:p>
        </w:tc>
        <w:tc>
          <w:tcPr>
            <w:tcW w:w="1892" w:type="dxa"/>
            <w:tcBorders>
              <w:top w:val="single" w:sz="4" w:space="0" w:color="000000"/>
              <w:left w:val="single" w:sz="4" w:space="0" w:color="000000"/>
              <w:bottom w:val="single" w:sz="4" w:space="0" w:color="000000"/>
              <w:right w:val="nil"/>
            </w:tcBorders>
            <w:shd w:val="clear" w:color="auto" w:fill="EEF3F7"/>
            <w:vAlign w:val="center"/>
          </w:tcPr>
          <w:p w14:paraId="32623487" w14:textId="77777777" w:rsidR="00CD748F" w:rsidRDefault="00426F7E">
            <w:pPr>
              <w:spacing w:after="0" w:line="259" w:lineRule="auto"/>
              <w:ind w:left="98" w:right="0" w:firstLine="0"/>
              <w:jc w:val="left"/>
            </w:pPr>
            <w:r>
              <w:rPr>
                <w:sz w:val="20"/>
              </w:rPr>
              <w:t>Même nature ?</w:t>
            </w:r>
            <w:r>
              <w:t xml:space="preserve"> </w:t>
            </w:r>
          </w:p>
        </w:tc>
        <w:tc>
          <w:tcPr>
            <w:tcW w:w="312" w:type="dxa"/>
            <w:tcBorders>
              <w:top w:val="single" w:sz="4" w:space="0" w:color="000000"/>
              <w:left w:val="nil"/>
              <w:bottom w:val="single" w:sz="4" w:space="0" w:color="000000"/>
              <w:right w:val="single" w:sz="4" w:space="0" w:color="000000"/>
            </w:tcBorders>
            <w:shd w:val="clear" w:color="auto" w:fill="EEF3F7"/>
          </w:tcPr>
          <w:p w14:paraId="7C85F1AF" w14:textId="77777777" w:rsidR="00CD748F" w:rsidRDefault="00CD748F">
            <w:pPr>
              <w:spacing w:after="160" w:line="259" w:lineRule="auto"/>
              <w:ind w:left="0" w:right="0" w:firstLine="0"/>
              <w:jc w:val="left"/>
            </w:pPr>
          </w:p>
        </w:tc>
        <w:tc>
          <w:tcPr>
            <w:tcW w:w="3108" w:type="dxa"/>
            <w:tcBorders>
              <w:top w:val="single" w:sz="4" w:space="0" w:color="000000"/>
              <w:left w:val="single" w:sz="4" w:space="0" w:color="000000"/>
              <w:bottom w:val="single" w:sz="4" w:space="0" w:color="000000"/>
              <w:right w:val="single" w:sz="4" w:space="0" w:color="000000"/>
            </w:tcBorders>
            <w:shd w:val="clear" w:color="auto" w:fill="EEF3F7"/>
          </w:tcPr>
          <w:p w14:paraId="3995D430" w14:textId="77777777" w:rsidR="00CD748F" w:rsidRDefault="00426F7E">
            <w:pPr>
              <w:spacing w:after="0" w:line="259" w:lineRule="auto"/>
              <w:ind w:left="99" w:right="0" w:firstLine="0"/>
              <w:jc w:val="left"/>
            </w:pPr>
            <w:r>
              <w:rPr>
                <w:sz w:val="20"/>
              </w:rPr>
              <w:t>Immatriculation AMO / droits ouverts</w:t>
            </w:r>
            <w:r>
              <w:t xml:space="preserve"> </w:t>
            </w:r>
          </w:p>
        </w:tc>
        <w:tc>
          <w:tcPr>
            <w:tcW w:w="3043"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43FA1AD1" w14:textId="77777777" w:rsidR="00CD748F" w:rsidRDefault="00426F7E">
            <w:pPr>
              <w:spacing w:after="0" w:line="259" w:lineRule="auto"/>
              <w:ind w:left="101" w:right="0" w:firstLine="0"/>
              <w:jc w:val="left"/>
            </w:pPr>
            <w:r>
              <w:rPr>
                <w:sz w:val="20"/>
              </w:rPr>
              <w:t>Affiliation ne suffit pas</w:t>
            </w:r>
            <w:r>
              <w:t xml:space="preserve"> </w:t>
            </w:r>
          </w:p>
        </w:tc>
      </w:tr>
      <w:tr w:rsidR="00CD748F" w14:paraId="7C5D594F" w14:textId="77777777">
        <w:trPr>
          <w:trHeight w:val="743"/>
        </w:trPr>
        <w:tc>
          <w:tcPr>
            <w:tcW w:w="1606" w:type="dxa"/>
            <w:tcBorders>
              <w:top w:val="single" w:sz="4" w:space="0" w:color="000000"/>
              <w:left w:val="single" w:sz="4" w:space="0" w:color="000000"/>
              <w:bottom w:val="single" w:sz="33" w:space="0" w:color="EEF3F7"/>
              <w:right w:val="single" w:sz="4" w:space="0" w:color="000000"/>
            </w:tcBorders>
            <w:vAlign w:val="center"/>
          </w:tcPr>
          <w:p w14:paraId="71C6A9C8" w14:textId="77777777" w:rsidR="00CD748F" w:rsidRDefault="00426F7E">
            <w:pPr>
              <w:tabs>
                <w:tab w:val="right" w:pos="1550"/>
              </w:tabs>
              <w:spacing w:after="15" w:line="259" w:lineRule="auto"/>
              <w:ind w:left="0" w:right="0" w:firstLine="0"/>
              <w:jc w:val="left"/>
            </w:pPr>
            <w:r>
              <w:rPr>
                <w:sz w:val="20"/>
              </w:rPr>
              <w:t xml:space="preserve">Output </w:t>
            </w:r>
            <w:r>
              <w:rPr>
                <w:sz w:val="20"/>
              </w:rPr>
              <w:tab/>
              <w:t xml:space="preserve">/ </w:t>
            </w:r>
          </w:p>
          <w:p w14:paraId="6D6C3F49" w14:textId="77777777" w:rsidR="00CD748F" w:rsidRDefault="00426F7E">
            <w:pPr>
              <w:spacing w:after="0" w:line="259" w:lineRule="auto"/>
              <w:ind w:left="99" w:right="0" w:firstLine="0"/>
              <w:jc w:val="left"/>
            </w:pPr>
            <w:r>
              <w:rPr>
                <w:sz w:val="20"/>
              </w:rPr>
              <w:t>outcome</w:t>
            </w:r>
            <w:r>
              <w:t xml:space="preserve"> </w:t>
            </w:r>
          </w:p>
        </w:tc>
        <w:tc>
          <w:tcPr>
            <w:tcW w:w="1892" w:type="dxa"/>
            <w:tcBorders>
              <w:top w:val="single" w:sz="4" w:space="0" w:color="000000"/>
              <w:left w:val="single" w:sz="4" w:space="0" w:color="000000"/>
              <w:bottom w:val="single" w:sz="33" w:space="0" w:color="EEF3F7"/>
              <w:right w:val="nil"/>
            </w:tcBorders>
            <w:vAlign w:val="center"/>
          </w:tcPr>
          <w:p w14:paraId="6CC4C76E" w14:textId="77777777" w:rsidR="00CD748F" w:rsidRDefault="00426F7E">
            <w:pPr>
              <w:spacing w:after="0" w:line="259" w:lineRule="auto"/>
              <w:ind w:left="98" w:right="0" w:firstLine="0"/>
              <w:jc w:val="left"/>
            </w:pPr>
            <w:r>
              <w:rPr>
                <w:sz w:val="20"/>
              </w:rPr>
              <w:t xml:space="preserve">Même </w:t>
            </w:r>
            <w:r>
              <w:rPr>
                <w:sz w:val="20"/>
              </w:rPr>
              <w:tab/>
              <w:t>niveau résultat ?</w:t>
            </w:r>
            <w:r>
              <w:t xml:space="preserve"> </w:t>
            </w:r>
          </w:p>
        </w:tc>
        <w:tc>
          <w:tcPr>
            <w:tcW w:w="312" w:type="dxa"/>
            <w:tcBorders>
              <w:top w:val="single" w:sz="4" w:space="0" w:color="000000"/>
              <w:left w:val="nil"/>
              <w:bottom w:val="single" w:sz="33" w:space="0" w:color="EEF3F7"/>
              <w:right w:val="single" w:sz="4" w:space="0" w:color="000000"/>
            </w:tcBorders>
          </w:tcPr>
          <w:p w14:paraId="5423C72A" w14:textId="77777777" w:rsidR="00CD748F" w:rsidRDefault="00426F7E">
            <w:pPr>
              <w:spacing w:after="0" w:line="259" w:lineRule="auto"/>
              <w:ind w:left="0" w:right="0" w:firstLine="0"/>
            </w:pPr>
            <w:r>
              <w:rPr>
                <w:sz w:val="20"/>
              </w:rPr>
              <w:t xml:space="preserve">de </w:t>
            </w:r>
          </w:p>
        </w:tc>
        <w:tc>
          <w:tcPr>
            <w:tcW w:w="3108" w:type="dxa"/>
            <w:tcBorders>
              <w:top w:val="single" w:sz="4" w:space="0" w:color="000000"/>
              <w:left w:val="single" w:sz="4" w:space="0" w:color="000000"/>
              <w:bottom w:val="single" w:sz="33" w:space="0" w:color="EEF3F7"/>
              <w:right w:val="single" w:sz="4" w:space="0" w:color="000000"/>
            </w:tcBorders>
            <w:vAlign w:val="center"/>
          </w:tcPr>
          <w:p w14:paraId="7B9C6800" w14:textId="77777777" w:rsidR="00CD748F" w:rsidRDefault="00426F7E">
            <w:pPr>
              <w:spacing w:after="0" w:line="259" w:lineRule="auto"/>
              <w:ind w:left="99" w:right="0" w:firstLine="0"/>
              <w:jc w:val="left"/>
            </w:pPr>
            <w:r>
              <w:rPr>
                <w:sz w:val="20"/>
              </w:rPr>
              <w:t>4 M familles aidées / sorties de pauvreté</w:t>
            </w:r>
            <w:r>
              <w:t xml:space="preserve"> </w:t>
            </w:r>
          </w:p>
        </w:tc>
        <w:tc>
          <w:tcPr>
            <w:tcW w:w="3043" w:type="dxa"/>
            <w:tcBorders>
              <w:top w:val="single" w:sz="4" w:space="0" w:color="000000"/>
              <w:left w:val="single" w:sz="4" w:space="0" w:color="000000"/>
              <w:bottom w:val="single" w:sz="33" w:space="0" w:color="EEF3F7"/>
              <w:right w:val="single" w:sz="4" w:space="0" w:color="000000"/>
            </w:tcBorders>
            <w:vAlign w:val="center"/>
          </w:tcPr>
          <w:p w14:paraId="3A4ECEB9" w14:textId="77777777" w:rsidR="00CD748F" w:rsidRDefault="00426F7E">
            <w:pPr>
              <w:spacing w:after="0" w:line="259" w:lineRule="auto"/>
              <w:ind w:left="101" w:right="0" w:firstLine="0"/>
              <w:jc w:val="left"/>
            </w:pPr>
            <w:r>
              <w:rPr>
                <w:sz w:val="20"/>
              </w:rPr>
              <w:t>Bénéficiaires ≠ sorties durables</w:t>
            </w:r>
            <w:r>
              <w:t xml:space="preserve"> </w:t>
            </w:r>
          </w:p>
        </w:tc>
      </w:tr>
      <w:tr w:rsidR="00CD748F" w14:paraId="628269FB" w14:textId="77777777">
        <w:trPr>
          <w:trHeight w:val="383"/>
        </w:trPr>
        <w:tc>
          <w:tcPr>
            <w:tcW w:w="1606" w:type="dxa"/>
            <w:tcBorders>
              <w:top w:val="single" w:sz="33" w:space="0" w:color="EEF3F7"/>
              <w:left w:val="single" w:sz="4" w:space="0" w:color="000000"/>
              <w:bottom w:val="single" w:sz="4" w:space="0" w:color="000000"/>
              <w:right w:val="single" w:sz="4" w:space="0" w:color="000000"/>
            </w:tcBorders>
            <w:shd w:val="clear" w:color="auto" w:fill="EEF3F7"/>
          </w:tcPr>
          <w:p w14:paraId="24381E31" w14:textId="77777777" w:rsidR="00CD748F" w:rsidRDefault="00426F7E">
            <w:pPr>
              <w:spacing w:after="0" w:line="259" w:lineRule="auto"/>
              <w:ind w:left="99" w:right="0" w:firstLine="0"/>
              <w:jc w:val="left"/>
            </w:pPr>
            <w:r>
              <w:rPr>
                <w:sz w:val="20"/>
              </w:rPr>
              <w:t>Prévision</w:t>
            </w:r>
            <w:r>
              <w:t xml:space="preserve"> </w:t>
            </w:r>
          </w:p>
        </w:tc>
        <w:tc>
          <w:tcPr>
            <w:tcW w:w="1892" w:type="dxa"/>
            <w:tcBorders>
              <w:top w:val="single" w:sz="33" w:space="0" w:color="EEF3F7"/>
              <w:left w:val="single" w:sz="4" w:space="0" w:color="000000"/>
              <w:bottom w:val="single" w:sz="4" w:space="0" w:color="000000"/>
              <w:right w:val="nil"/>
            </w:tcBorders>
            <w:shd w:val="clear" w:color="auto" w:fill="EEF3F7"/>
          </w:tcPr>
          <w:p w14:paraId="17EB0642" w14:textId="77777777" w:rsidR="00CD748F" w:rsidRDefault="00426F7E">
            <w:pPr>
              <w:spacing w:after="0" w:line="259" w:lineRule="auto"/>
              <w:ind w:left="98" w:right="0" w:firstLine="0"/>
              <w:jc w:val="left"/>
            </w:pPr>
            <w:r>
              <w:rPr>
                <w:sz w:val="20"/>
              </w:rPr>
              <w:t>Réalisé ou prévu ?</w:t>
            </w:r>
            <w:r>
              <w:t xml:space="preserve"> </w:t>
            </w:r>
          </w:p>
        </w:tc>
        <w:tc>
          <w:tcPr>
            <w:tcW w:w="312" w:type="dxa"/>
            <w:tcBorders>
              <w:top w:val="single" w:sz="33" w:space="0" w:color="EEF3F7"/>
              <w:left w:val="nil"/>
              <w:bottom w:val="single" w:sz="4" w:space="0" w:color="000000"/>
              <w:right w:val="single" w:sz="4" w:space="0" w:color="000000"/>
            </w:tcBorders>
            <w:shd w:val="clear" w:color="auto" w:fill="EEF3F7"/>
          </w:tcPr>
          <w:p w14:paraId="2E5BDE41" w14:textId="77777777" w:rsidR="00CD748F" w:rsidRDefault="00CD748F">
            <w:pPr>
              <w:spacing w:after="160" w:line="259" w:lineRule="auto"/>
              <w:ind w:left="0" w:right="0" w:firstLine="0"/>
              <w:jc w:val="left"/>
            </w:pPr>
          </w:p>
        </w:tc>
        <w:tc>
          <w:tcPr>
            <w:tcW w:w="3108" w:type="dxa"/>
            <w:tcBorders>
              <w:top w:val="single" w:sz="33" w:space="0" w:color="EEF3F7"/>
              <w:left w:val="single" w:sz="4" w:space="0" w:color="000000"/>
              <w:bottom w:val="single" w:sz="4" w:space="0" w:color="000000"/>
              <w:right w:val="single" w:sz="4" w:space="0" w:color="000000"/>
            </w:tcBorders>
            <w:shd w:val="clear" w:color="auto" w:fill="EEF3F7"/>
          </w:tcPr>
          <w:p w14:paraId="156A3A02" w14:textId="77777777" w:rsidR="00CD748F" w:rsidRDefault="00426F7E">
            <w:pPr>
              <w:spacing w:after="0" w:line="259" w:lineRule="auto"/>
              <w:ind w:left="99" w:right="0" w:firstLine="0"/>
              <w:jc w:val="left"/>
            </w:pPr>
            <w:r>
              <w:rPr>
                <w:sz w:val="20"/>
              </w:rPr>
              <w:t>Croissance 2026</w:t>
            </w:r>
            <w:r>
              <w:t xml:space="preserve"> </w:t>
            </w:r>
          </w:p>
        </w:tc>
        <w:tc>
          <w:tcPr>
            <w:tcW w:w="3043" w:type="dxa"/>
            <w:tcBorders>
              <w:top w:val="single" w:sz="33" w:space="0" w:color="EEF3F7"/>
              <w:left w:val="single" w:sz="4" w:space="0" w:color="000000"/>
              <w:bottom w:val="single" w:sz="4" w:space="0" w:color="000000"/>
              <w:right w:val="single" w:sz="4" w:space="0" w:color="000000"/>
            </w:tcBorders>
            <w:shd w:val="clear" w:color="auto" w:fill="EEF3F7"/>
          </w:tcPr>
          <w:p w14:paraId="274022C3" w14:textId="77777777" w:rsidR="00CD748F" w:rsidRDefault="00426F7E">
            <w:pPr>
              <w:spacing w:after="0" w:line="259" w:lineRule="auto"/>
              <w:ind w:left="101" w:right="0" w:firstLine="0"/>
              <w:jc w:val="left"/>
            </w:pPr>
            <w:r>
              <w:rPr>
                <w:sz w:val="20"/>
              </w:rPr>
              <w:t>Pas de verdict avant clôture</w:t>
            </w:r>
            <w:r>
              <w:t xml:space="preserve"> </w:t>
            </w:r>
          </w:p>
        </w:tc>
      </w:tr>
      <w:tr w:rsidR="00CD748F" w14:paraId="433EE257" w14:textId="77777777">
        <w:trPr>
          <w:trHeight w:val="741"/>
        </w:trPr>
        <w:tc>
          <w:tcPr>
            <w:tcW w:w="1606" w:type="dxa"/>
            <w:tcBorders>
              <w:top w:val="single" w:sz="4" w:space="0" w:color="000000"/>
              <w:left w:val="single" w:sz="4" w:space="0" w:color="000000"/>
              <w:bottom w:val="single" w:sz="33" w:space="0" w:color="EEF3F7"/>
              <w:right w:val="single" w:sz="4" w:space="0" w:color="000000"/>
            </w:tcBorders>
            <w:vAlign w:val="center"/>
          </w:tcPr>
          <w:p w14:paraId="4028A58A" w14:textId="77777777" w:rsidR="00CD748F" w:rsidRDefault="00426F7E">
            <w:pPr>
              <w:spacing w:after="0" w:line="259" w:lineRule="auto"/>
              <w:ind w:left="99" w:right="0" w:firstLine="0"/>
              <w:jc w:val="left"/>
            </w:pPr>
            <w:r>
              <w:rPr>
                <w:sz w:val="20"/>
              </w:rPr>
              <w:t>Périmètre budgétaire</w:t>
            </w:r>
            <w:r>
              <w:t xml:space="preserve"> </w:t>
            </w:r>
          </w:p>
        </w:tc>
        <w:tc>
          <w:tcPr>
            <w:tcW w:w="1892" w:type="dxa"/>
            <w:tcBorders>
              <w:top w:val="single" w:sz="4" w:space="0" w:color="000000"/>
              <w:left w:val="single" w:sz="4" w:space="0" w:color="000000"/>
              <w:bottom w:val="single" w:sz="33" w:space="0" w:color="EEF3F7"/>
              <w:right w:val="nil"/>
            </w:tcBorders>
            <w:vAlign w:val="center"/>
          </w:tcPr>
          <w:p w14:paraId="7263736D" w14:textId="77777777" w:rsidR="00CD748F" w:rsidRDefault="00426F7E">
            <w:pPr>
              <w:spacing w:after="0" w:line="259" w:lineRule="auto"/>
              <w:ind w:left="98" w:right="0" w:firstLine="0"/>
              <w:jc w:val="left"/>
            </w:pPr>
            <w:r>
              <w:rPr>
                <w:sz w:val="20"/>
              </w:rPr>
              <w:t>Même enveloppe ?</w:t>
            </w:r>
            <w:r>
              <w:t xml:space="preserve"> </w:t>
            </w:r>
          </w:p>
        </w:tc>
        <w:tc>
          <w:tcPr>
            <w:tcW w:w="312" w:type="dxa"/>
            <w:tcBorders>
              <w:top w:val="single" w:sz="4" w:space="0" w:color="000000"/>
              <w:left w:val="nil"/>
              <w:bottom w:val="single" w:sz="33" w:space="0" w:color="EEF3F7"/>
              <w:right w:val="single" w:sz="4" w:space="0" w:color="000000"/>
            </w:tcBorders>
          </w:tcPr>
          <w:p w14:paraId="6C5003B2" w14:textId="77777777" w:rsidR="00CD748F" w:rsidRDefault="00CD748F">
            <w:pPr>
              <w:spacing w:after="160" w:line="259" w:lineRule="auto"/>
              <w:ind w:left="0" w:right="0" w:firstLine="0"/>
              <w:jc w:val="left"/>
            </w:pPr>
          </w:p>
        </w:tc>
        <w:tc>
          <w:tcPr>
            <w:tcW w:w="3108" w:type="dxa"/>
            <w:tcBorders>
              <w:top w:val="single" w:sz="4" w:space="0" w:color="000000"/>
              <w:left w:val="single" w:sz="4" w:space="0" w:color="000000"/>
              <w:bottom w:val="single" w:sz="33" w:space="0" w:color="EEF3F7"/>
              <w:right w:val="single" w:sz="4" w:space="0" w:color="000000"/>
            </w:tcBorders>
            <w:vAlign w:val="center"/>
          </w:tcPr>
          <w:p w14:paraId="54AAC178" w14:textId="77777777" w:rsidR="00CD748F" w:rsidRDefault="00426F7E">
            <w:pPr>
              <w:spacing w:after="11" w:line="259" w:lineRule="auto"/>
              <w:ind w:left="99" w:right="0" w:firstLine="0"/>
              <w:jc w:val="left"/>
            </w:pPr>
            <w:r>
              <w:rPr>
                <w:sz w:val="20"/>
              </w:rPr>
              <w:t xml:space="preserve">120 Md Al Haouz / dépenses </w:t>
            </w:r>
          </w:p>
          <w:p w14:paraId="35CCF189" w14:textId="77777777" w:rsidR="00CD748F" w:rsidRDefault="00426F7E">
            <w:pPr>
              <w:spacing w:after="0" w:line="259" w:lineRule="auto"/>
              <w:ind w:left="99" w:right="0" w:firstLine="0"/>
              <w:jc w:val="left"/>
            </w:pPr>
            <w:r>
              <w:rPr>
                <w:sz w:val="20"/>
              </w:rPr>
              <w:t>constatées</w:t>
            </w:r>
            <w:r>
              <w:t xml:space="preserve"> </w:t>
            </w:r>
          </w:p>
        </w:tc>
        <w:tc>
          <w:tcPr>
            <w:tcW w:w="3043" w:type="dxa"/>
            <w:tcBorders>
              <w:top w:val="single" w:sz="4" w:space="0" w:color="000000"/>
              <w:left w:val="single" w:sz="4" w:space="0" w:color="000000"/>
              <w:bottom w:val="single" w:sz="33" w:space="0" w:color="EEF3F7"/>
              <w:right w:val="single" w:sz="4" w:space="0" w:color="000000"/>
            </w:tcBorders>
            <w:vAlign w:val="center"/>
          </w:tcPr>
          <w:p w14:paraId="125ADF8D" w14:textId="77777777" w:rsidR="00CD748F" w:rsidRDefault="00426F7E">
            <w:pPr>
              <w:spacing w:after="0" w:line="259" w:lineRule="auto"/>
              <w:ind w:left="101" w:right="0" w:firstLine="0"/>
              <w:jc w:val="left"/>
            </w:pPr>
            <w:r>
              <w:rPr>
                <w:sz w:val="20"/>
              </w:rPr>
              <w:t>Enveloppe ≠ dépense</w:t>
            </w:r>
            <w:r>
              <w:t xml:space="preserve"> </w:t>
            </w:r>
          </w:p>
        </w:tc>
      </w:tr>
      <w:tr w:rsidR="00CD748F" w14:paraId="7C54366E" w14:textId="77777777">
        <w:trPr>
          <w:trHeight w:val="615"/>
        </w:trPr>
        <w:tc>
          <w:tcPr>
            <w:tcW w:w="1606"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5E7DED55" w14:textId="77777777" w:rsidR="00CD748F" w:rsidRDefault="00426F7E">
            <w:pPr>
              <w:spacing w:after="0" w:line="259" w:lineRule="auto"/>
              <w:ind w:left="99" w:right="0" w:firstLine="0"/>
              <w:jc w:val="left"/>
            </w:pPr>
            <w:r>
              <w:rPr>
                <w:sz w:val="20"/>
              </w:rPr>
              <w:t>Attribution</w:t>
            </w:r>
            <w:r>
              <w:t xml:space="preserve"> </w:t>
            </w:r>
          </w:p>
        </w:tc>
        <w:tc>
          <w:tcPr>
            <w:tcW w:w="2204" w:type="dxa"/>
            <w:gridSpan w:val="2"/>
            <w:tcBorders>
              <w:top w:val="single" w:sz="33" w:space="0" w:color="EEF3F7"/>
              <w:left w:val="single" w:sz="4" w:space="0" w:color="000000"/>
              <w:bottom w:val="single" w:sz="4" w:space="0" w:color="000000"/>
              <w:right w:val="single" w:sz="4" w:space="0" w:color="000000"/>
            </w:tcBorders>
            <w:shd w:val="clear" w:color="auto" w:fill="EEF3F7"/>
            <w:vAlign w:val="center"/>
          </w:tcPr>
          <w:p w14:paraId="2006CBE5" w14:textId="77777777" w:rsidR="00CD748F" w:rsidRDefault="00426F7E">
            <w:pPr>
              <w:spacing w:after="0" w:line="259" w:lineRule="auto"/>
              <w:ind w:left="98" w:right="0" w:firstLine="0"/>
              <w:jc w:val="left"/>
            </w:pPr>
            <w:r>
              <w:rPr>
                <w:sz w:val="20"/>
              </w:rPr>
              <w:t>Effet causal démontré ?</w:t>
            </w:r>
            <w:r>
              <w:t xml:space="preserve"> </w:t>
            </w:r>
          </w:p>
        </w:tc>
        <w:tc>
          <w:tcPr>
            <w:tcW w:w="3108"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3FC8C6E4" w14:textId="77777777" w:rsidR="00CD748F" w:rsidRDefault="00426F7E">
            <w:pPr>
              <w:spacing w:after="0" w:line="259" w:lineRule="auto"/>
              <w:ind w:left="99" w:right="0" w:firstLine="0"/>
              <w:jc w:val="left"/>
            </w:pPr>
            <w:r>
              <w:rPr>
                <w:sz w:val="20"/>
              </w:rPr>
              <w:t>Emploi, inflation, agriculture</w:t>
            </w:r>
            <w:r>
              <w:t xml:space="preserve"> </w:t>
            </w:r>
          </w:p>
        </w:tc>
        <w:tc>
          <w:tcPr>
            <w:tcW w:w="3043" w:type="dxa"/>
            <w:tcBorders>
              <w:top w:val="single" w:sz="33" w:space="0" w:color="EEF3F7"/>
              <w:left w:val="single" w:sz="4" w:space="0" w:color="000000"/>
              <w:bottom w:val="single" w:sz="4" w:space="0" w:color="000000"/>
              <w:right w:val="single" w:sz="4" w:space="0" w:color="000000"/>
            </w:tcBorders>
            <w:shd w:val="clear" w:color="auto" w:fill="EEF3F7"/>
          </w:tcPr>
          <w:p w14:paraId="1482E33C" w14:textId="77777777" w:rsidR="00CD748F" w:rsidRDefault="00426F7E">
            <w:pPr>
              <w:spacing w:after="0" w:line="259" w:lineRule="auto"/>
              <w:ind w:left="101" w:right="0" w:firstLine="0"/>
              <w:jc w:val="left"/>
            </w:pPr>
            <w:r>
              <w:rPr>
                <w:sz w:val="20"/>
              </w:rPr>
              <w:t>Contexte et politique doivent être séparés</w:t>
            </w:r>
            <w:r>
              <w:t xml:space="preserve"> </w:t>
            </w:r>
          </w:p>
        </w:tc>
      </w:tr>
    </w:tbl>
    <w:p w14:paraId="45B91EA9" w14:textId="77777777" w:rsidR="00CD748F" w:rsidRDefault="00426F7E">
      <w:pPr>
        <w:pStyle w:val="Titre2"/>
        <w:ind w:left="-5"/>
      </w:pPr>
      <w:r>
        <w:t xml:space="preserve">III. CHRONOLOGIE ANALYTIQUE DU MANDAT </w:t>
      </w:r>
    </w:p>
    <w:tbl>
      <w:tblPr>
        <w:tblStyle w:val="TableGrid"/>
        <w:tblW w:w="9961" w:type="dxa"/>
        <w:tblInd w:w="7" w:type="dxa"/>
        <w:tblCellMar>
          <w:top w:w="85" w:type="dxa"/>
          <w:left w:w="98" w:type="dxa"/>
          <w:bottom w:w="0" w:type="dxa"/>
          <w:right w:w="48" w:type="dxa"/>
        </w:tblCellMar>
        <w:tblLook w:val="04A0" w:firstRow="1" w:lastRow="0" w:firstColumn="1" w:lastColumn="0" w:noHBand="0" w:noVBand="1"/>
      </w:tblPr>
      <w:tblGrid>
        <w:gridCol w:w="1278"/>
        <w:gridCol w:w="4520"/>
        <w:gridCol w:w="4163"/>
      </w:tblGrid>
      <w:tr w:rsidR="00CD748F" w14:paraId="61385B67" w14:textId="77777777">
        <w:trPr>
          <w:trHeight w:val="371"/>
        </w:trPr>
        <w:tc>
          <w:tcPr>
            <w:tcW w:w="1277" w:type="dxa"/>
            <w:tcBorders>
              <w:top w:val="single" w:sz="4" w:space="0" w:color="000000"/>
              <w:left w:val="single" w:sz="4" w:space="0" w:color="000000"/>
              <w:bottom w:val="single" w:sz="33" w:space="0" w:color="EEF3F7"/>
              <w:right w:val="single" w:sz="4" w:space="0" w:color="000000"/>
            </w:tcBorders>
            <w:shd w:val="clear" w:color="auto" w:fill="163A5F"/>
          </w:tcPr>
          <w:p w14:paraId="69DA073E" w14:textId="77777777" w:rsidR="00CD748F" w:rsidRDefault="00426F7E">
            <w:pPr>
              <w:spacing w:after="0" w:line="259" w:lineRule="auto"/>
              <w:ind w:left="0" w:right="0" w:firstLine="0"/>
              <w:jc w:val="left"/>
            </w:pPr>
            <w:r>
              <w:rPr>
                <w:b/>
                <w:color w:val="FFFFFF"/>
                <w:sz w:val="20"/>
              </w:rPr>
              <w:t>Période</w:t>
            </w:r>
            <w:r>
              <w:rPr>
                <w:color w:val="FFFFFF"/>
              </w:rPr>
              <w:t xml:space="preserve"> </w:t>
            </w:r>
          </w:p>
        </w:tc>
        <w:tc>
          <w:tcPr>
            <w:tcW w:w="4520" w:type="dxa"/>
            <w:tcBorders>
              <w:top w:val="single" w:sz="4" w:space="0" w:color="000000"/>
              <w:left w:val="single" w:sz="4" w:space="0" w:color="000000"/>
              <w:bottom w:val="single" w:sz="33" w:space="0" w:color="EEF3F7"/>
              <w:right w:val="single" w:sz="4" w:space="0" w:color="000000"/>
            </w:tcBorders>
            <w:shd w:val="clear" w:color="auto" w:fill="163A5F"/>
          </w:tcPr>
          <w:p w14:paraId="6C54CB29" w14:textId="77777777" w:rsidR="00CD748F" w:rsidRDefault="00426F7E">
            <w:pPr>
              <w:spacing w:after="0" w:line="259" w:lineRule="auto"/>
              <w:ind w:left="0" w:right="0" w:firstLine="0"/>
              <w:jc w:val="left"/>
            </w:pPr>
            <w:r>
              <w:rPr>
                <w:b/>
                <w:color w:val="FFFFFF"/>
                <w:sz w:val="20"/>
              </w:rPr>
              <w:t>Événement / indicateur</w:t>
            </w:r>
            <w:r>
              <w:rPr>
                <w:color w:val="FFFFFF"/>
              </w:rPr>
              <w:t xml:space="preserve"> </w:t>
            </w:r>
          </w:p>
        </w:tc>
        <w:tc>
          <w:tcPr>
            <w:tcW w:w="4163" w:type="dxa"/>
            <w:tcBorders>
              <w:top w:val="single" w:sz="4" w:space="0" w:color="000000"/>
              <w:left w:val="single" w:sz="4" w:space="0" w:color="000000"/>
              <w:bottom w:val="single" w:sz="33" w:space="0" w:color="EEF3F7"/>
              <w:right w:val="single" w:sz="4" w:space="0" w:color="000000"/>
            </w:tcBorders>
            <w:shd w:val="clear" w:color="auto" w:fill="163A5F"/>
          </w:tcPr>
          <w:p w14:paraId="0C02C47B" w14:textId="77777777" w:rsidR="00CD748F" w:rsidRDefault="00426F7E">
            <w:pPr>
              <w:spacing w:after="0" w:line="259" w:lineRule="auto"/>
              <w:ind w:left="0" w:right="0" w:firstLine="0"/>
              <w:jc w:val="left"/>
            </w:pPr>
            <w:r>
              <w:rPr>
                <w:b/>
                <w:color w:val="FFFFFF"/>
                <w:sz w:val="20"/>
              </w:rPr>
              <w:t>Lecture d’audit</w:t>
            </w:r>
            <w:r>
              <w:rPr>
                <w:color w:val="FFFFFF"/>
              </w:rPr>
              <w:t xml:space="preserve"> </w:t>
            </w:r>
          </w:p>
        </w:tc>
      </w:tr>
      <w:tr w:rsidR="00CD748F" w14:paraId="2B980900" w14:textId="77777777">
        <w:trPr>
          <w:trHeight w:val="883"/>
        </w:trPr>
        <w:tc>
          <w:tcPr>
            <w:tcW w:w="1277"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4A176B83" w14:textId="77777777" w:rsidR="00CD748F" w:rsidRDefault="00426F7E">
            <w:pPr>
              <w:spacing w:after="0" w:line="259" w:lineRule="auto"/>
              <w:ind w:left="0" w:right="0" w:firstLine="0"/>
              <w:jc w:val="left"/>
            </w:pPr>
            <w:r>
              <w:rPr>
                <w:sz w:val="20"/>
              </w:rPr>
              <w:t>2021</w:t>
            </w:r>
            <w:r>
              <w:t xml:space="preserve"> </w:t>
            </w:r>
          </w:p>
        </w:tc>
        <w:tc>
          <w:tcPr>
            <w:tcW w:w="4520"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7F846C68" w14:textId="77777777" w:rsidR="00CD748F" w:rsidRDefault="00426F7E">
            <w:pPr>
              <w:spacing w:after="0" w:line="259" w:lineRule="auto"/>
              <w:ind w:left="0" w:right="0" w:firstLine="0"/>
            </w:pPr>
            <w:r>
              <w:rPr>
                <w:sz w:val="20"/>
              </w:rPr>
              <w:t>Publication du programme gouvernemental ; installation du gouvernement en octobre</w:t>
            </w:r>
            <w:r>
              <w:t xml:space="preserve"> </w:t>
            </w:r>
          </w:p>
        </w:tc>
        <w:tc>
          <w:tcPr>
            <w:tcW w:w="4163" w:type="dxa"/>
            <w:tcBorders>
              <w:top w:val="single" w:sz="33" w:space="0" w:color="EEF3F7"/>
              <w:left w:val="single" w:sz="4" w:space="0" w:color="000000"/>
              <w:bottom w:val="single" w:sz="4" w:space="0" w:color="000000"/>
              <w:right w:val="single" w:sz="4" w:space="0" w:color="000000"/>
            </w:tcBorders>
            <w:shd w:val="clear" w:color="auto" w:fill="EEF3F7"/>
          </w:tcPr>
          <w:p w14:paraId="163FE099" w14:textId="77777777" w:rsidR="00CD748F" w:rsidRDefault="00426F7E">
            <w:pPr>
              <w:spacing w:after="0" w:line="259" w:lineRule="auto"/>
              <w:ind w:left="0" w:right="55" w:firstLine="0"/>
            </w:pPr>
            <w:r>
              <w:rPr>
                <w:sz w:val="20"/>
              </w:rPr>
              <w:t>Les données annuelles 2021 sont essentiellement un point de départ, pas un résultat attribuable</w:t>
            </w:r>
            <w:r>
              <w:t xml:space="preserve"> </w:t>
            </w:r>
          </w:p>
        </w:tc>
      </w:tr>
      <w:tr w:rsidR="00CD748F" w14:paraId="2FD3790D" w14:textId="77777777">
        <w:trPr>
          <w:trHeight w:val="743"/>
        </w:trPr>
        <w:tc>
          <w:tcPr>
            <w:tcW w:w="1277" w:type="dxa"/>
            <w:tcBorders>
              <w:top w:val="single" w:sz="4" w:space="0" w:color="000000"/>
              <w:left w:val="single" w:sz="4" w:space="0" w:color="000000"/>
              <w:bottom w:val="single" w:sz="33" w:space="0" w:color="EEF3F7"/>
              <w:right w:val="single" w:sz="4" w:space="0" w:color="000000"/>
            </w:tcBorders>
            <w:vAlign w:val="center"/>
          </w:tcPr>
          <w:p w14:paraId="029E206B" w14:textId="77777777" w:rsidR="00CD748F" w:rsidRDefault="00426F7E">
            <w:pPr>
              <w:spacing w:after="0" w:line="259" w:lineRule="auto"/>
              <w:ind w:left="0" w:right="0" w:firstLine="0"/>
              <w:jc w:val="left"/>
            </w:pPr>
            <w:r>
              <w:rPr>
                <w:sz w:val="20"/>
              </w:rPr>
              <w:t>2022</w:t>
            </w:r>
            <w:r>
              <w:t xml:space="preserve"> </w:t>
            </w:r>
          </w:p>
        </w:tc>
        <w:tc>
          <w:tcPr>
            <w:tcW w:w="4520" w:type="dxa"/>
            <w:tcBorders>
              <w:top w:val="single" w:sz="4" w:space="0" w:color="000000"/>
              <w:left w:val="single" w:sz="4" w:space="0" w:color="000000"/>
              <w:bottom w:val="single" w:sz="33" w:space="0" w:color="EEF3F7"/>
              <w:right w:val="single" w:sz="4" w:space="0" w:color="000000"/>
            </w:tcBorders>
            <w:vAlign w:val="center"/>
          </w:tcPr>
          <w:p w14:paraId="074E4D11" w14:textId="77777777" w:rsidR="00CD748F" w:rsidRDefault="00426F7E">
            <w:pPr>
              <w:spacing w:after="0" w:line="259" w:lineRule="auto"/>
              <w:ind w:left="0" w:right="0" w:firstLine="0"/>
            </w:pPr>
            <w:r>
              <w:rPr>
                <w:sz w:val="20"/>
              </w:rPr>
              <w:t xml:space="preserve">Sécheresse ; PIB réel +1,5 % ; inflation +6,6 % ; </w:t>
            </w:r>
            <w:r>
              <w:rPr>
                <w:sz w:val="20"/>
              </w:rPr>
              <w:t>−</w:t>
            </w:r>
            <w:r>
              <w:rPr>
                <w:sz w:val="20"/>
              </w:rPr>
              <w:t>24k emplois</w:t>
            </w:r>
            <w:r>
              <w:t xml:space="preserve"> </w:t>
            </w:r>
          </w:p>
        </w:tc>
        <w:tc>
          <w:tcPr>
            <w:tcW w:w="4163" w:type="dxa"/>
            <w:tcBorders>
              <w:top w:val="single" w:sz="4" w:space="0" w:color="000000"/>
              <w:left w:val="single" w:sz="4" w:space="0" w:color="000000"/>
              <w:bottom w:val="single" w:sz="33" w:space="0" w:color="EEF3F7"/>
              <w:right w:val="single" w:sz="4" w:space="0" w:color="000000"/>
            </w:tcBorders>
            <w:vAlign w:val="center"/>
          </w:tcPr>
          <w:p w14:paraId="61EF2E63" w14:textId="77777777" w:rsidR="00CD748F" w:rsidRDefault="00426F7E">
            <w:pPr>
              <w:spacing w:after="0" w:line="259" w:lineRule="auto"/>
              <w:ind w:left="0" w:right="0" w:firstLine="0"/>
              <w:jc w:val="left"/>
            </w:pPr>
            <w:r>
              <w:rPr>
                <w:sz w:val="20"/>
              </w:rPr>
              <w:t>Premier test du modèle de résilience</w:t>
            </w:r>
            <w:r>
              <w:t xml:space="preserve"> </w:t>
            </w:r>
          </w:p>
        </w:tc>
      </w:tr>
      <w:tr w:rsidR="00CD748F" w14:paraId="45F88E8B" w14:textId="77777777">
        <w:trPr>
          <w:trHeight w:val="615"/>
        </w:trPr>
        <w:tc>
          <w:tcPr>
            <w:tcW w:w="1277"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5ED7C442" w14:textId="77777777" w:rsidR="00CD748F" w:rsidRDefault="00426F7E">
            <w:pPr>
              <w:spacing w:after="0" w:line="259" w:lineRule="auto"/>
              <w:ind w:left="0" w:right="0" w:firstLine="0"/>
              <w:jc w:val="left"/>
            </w:pPr>
            <w:r>
              <w:rPr>
                <w:sz w:val="20"/>
              </w:rPr>
              <w:t>2023</w:t>
            </w:r>
            <w:r>
              <w:t xml:space="preserve"> </w:t>
            </w:r>
          </w:p>
        </w:tc>
        <w:tc>
          <w:tcPr>
            <w:tcW w:w="4520" w:type="dxa"/>
            <w:tcBorders>
              <w:top w:val="single" w:sz="33" w:space="0" w:color="EEF3F7"/>
              <w:left w:val="single" w:sz="4" w:space="0" w:color="000000"/>
              <w:bottom w:val="single" w:sz="4" w:space="0" w:color="000000"/>
              <w:right w:val="single" w:sz="4" w:space="0" w:color="000000"/>
            </w:tcBorders>
            <w:shd w:val="clear" w:color="auto" w:fill="EEF3F7"/>
          </w:tcPr>
          <w:p w14:paraId="1690FE55" w14:textId="77777777" w:rsidR="00CD748F" w:rsidRDefault="00426F7E">
            <w:pPr>
              <w:spacing w:after="13" w:line="259" w:lineRule="auto"/>
              <w:ind w:left="0" w:right="0" w:firstLine="0"/>
              <w:jc w:val="left"/>
            </w:pPr>
            <w:r>
              <w:rPr>
                <w:sz w:val="20"/>
              </w:rPr>
              <w:t>−</w:t>
            </w:r>
            <w:r>
              <w:rPr>
                <w:sz w:val="20"/>
              </w:rPr>
              <w:t xml:space="preserve">157k emplois ; −202k emplois agricoles ; inflation </w:t>
            </w:r>
          </w:p>
          <w:p w14:paraId="5379BB00" w14:textId="77777777" w:rsidR="00CD748F" w:rsidRDefault="00426F7E">
            <w:pPr>
              <w:spacing w:after="0" w:line="259" w:lineRule="auto"/>
              <w:ind w:left="0" w:right="0" w:firstLine="0"/>
              <w:jc w:val="left"/>
            </w:pPr>
            <w:r>
              <w:rPr>
                <w:sz w:val="20"/>
              </w:rPr>
              <w:t>+6,1 % ; séisme d’Al Haouz ; lancement aide directe</w:t>
            </w:r>
            <w:r>
              <w:t xml:space="preserve"> </w:t>
            </w:r>
          </w:p>
        </w:tc>
        <w:tc>
          <w:tcPr>
            <w:tcW w:w="4163"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0007CAB7" w14:textId="77777777" w:rsidR="00CD748F" w:rsidRDefault="00426F7E">
            <w:pPr>
              <w:spacing w:after="0" w:line="259" w:lineRule="auto"/>
              <w:ind w:left="0" w:right="0" w:firstLine="0"/>
              <w:jc w:val="left"/>
            </w:pPr>
            <w:r>
              <w:rPr>
                <w:sz w:val="20"/>
              </w:rPr>
              <w:t>Année de crise et de basculement budgétaire</w:t>
            </w:r>
            <w:r>
              <w:t xml:space="preserve"> </w:t>
            </w:r>
          </w:p>
        </w:tc>
      </w:tr>
      <w:tr w:rsidR="00CD748F" w14:paraId="2D3F78AE" w14:textId="77777777">
        <w:trPr>
          <w:trHeight w:val="744"/>
        </w:trPr>
        <w:tc>
          <w:tcPr>
            <w:tcW w:w="1277" w:type="dxa"/>
            <w:tcBorders>
              <w:top w:val="single" w:sz="4" w:space="0" w:color="000000"/>
              <w:left w:val="single" w:sz="4" w:space="0" w:color="000000"/>
              <w:bottom w:val="single" w:sz="33" w:space="0" w:color="EEF3F7"/>
              <w:right w:val="single" w:sz="4" w:space="0" w:color="000000"/>
            </w:tcBorders>
            <w:vAlign w:val="center"/>
          </w:tcPr>
          <w:p w14:paraId="6B814FF3" w14:textId="77777777" w:rsidR="00CD748F" w:rsidRDefault="00426F7E">
            <w:pPr>
              <w:spacing w:after="0" w:line="259" w:lineRule="auto"/>
              <w:ind w:left="0" w:right="0" w:firstLine="0"/>
              <w:jc w:val="left"/>
            </w:pPr>
            <w:r>
              <w:rPr>
                <w:sz w:val="20"/>
              </w:rPr>
              <w:t>2024</w:t>
            </w:r>
            <w:r>
              <w:t xml:space="preserve"> </w:t>
            </w:r>
          </w:p>
        </w:tc>
        <w:tc>
          <w:tcPr>
            <w:tcW w:w="4520" w:type="dxa"/>
            <w:tcBorders>
              <w:top w:val="single" w:sz="4" w:space="0" w:color="000000"/>
              <w:left w:val="single" w:sz="4" w:space="0" w:color="000000"/>
              <w:bottom w:val="single" w:sz="33" w:space="0" w:color="EEF3F7"/>
              <w:right w:val="single" w:sz="4" w:space="0" w:color="000000"/>
            </w:tcBorders>
            <w:vAlign w:val="center"/>
          </w:tcPr>
          <w:p w14:paraId="5AE50281" w14:textId="77777777" w:rsidR="00CD748F" w:rsidRDefault="00426F7E">
            <w:pPr>
              <w:spacing w:after="0" w:line="259" w:lineRule="auto"/>
              <w:ind w:left="0" w:right="0" w:firstLine="0"/>
            </w:pPr>
            <w:r>
              <w:rPr>
                <w:sz w:val="20"/>
              </w:rPr>
              <w:t xml:space="preserve">PIB +4,4 % ; +82k emplois ; −137k agriculture ; </w:t>
            </w:r>
            <w:r>
              <w:rPr>
                <w:sz w:val="20"/>
              </w:rPr>
              <w:t>investissement 78 % sur crédits définitifs</w:t>
            </w:r>
            <w:r>
              <w:t xml:space="preserve"> </w:t>
            </w:r>
          </w:p>
        </w:tc>
        <w:tc>
          <w:tcPr>
            <w:tcW w:w="4163" w:type="dxa"/>
            <w:tcBorders>
              <w:top w:val="single" w:sz="4" w:space="0" w:color="000000"/>
              <w:left w:val="single" w:sz="4" w:space="0" w:color="000000"/>
              <w:bottom w:val="single" w:sz="33" w:space="0" w:color="EEF3F7"/>
              <w:right w:val="single" w:sz="4" w:space="0" w:color="000000"/>
            </w:tcBorders>
            <w:vAlign w:val="center"/>
          </w:tcPr>
          <w:p w14:paraId="1E9DF7FD" w14:textId="77777777" w:rsidR="00CD748F" w:rsidRDefault="00426F7E">
            <w:pPr>
              <w:spacing w:after="0" w:line="259" w:lineRule="auto"/>
              <w:ind w:left="0" w:right="0" w:firstLine="0"/>
              <w:jc w:val="left"/>
            </w:pPr>
            <w:r>
              <w:rPr>
                <w:sz w:val="20"/>
              </w:rPr>
              <w:t>Reprise macroéconomique mais forte tension agricole</w:t>
            </w:r>
            <w:r>
              <w:t xml:space="preserve"> </w:t>
            </w:r>
          </w:p>
        </w:tc>
      </w:tr>
      <w:tr w:rsidR="00CD748F" w14:paraId="3C45E48F" w14:textId="77777777">
        <w:trPr>
          <w:trHeight w:val="613"/>
        </w:trPr>
        <w:tc>
          <w:tcPr>
            <w:tcW w:w="1277"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770587E5" w14:textId="77777777" w:rsidR="00CD748F" w:rsidRDefault="00426F7E">
            <w:pPr>
              <w:spacing w:after="0" w:line="259" w:lineRule="auto"/>
              <w:ind w:left="0" w:right="0" w:firstLine="0"/>
              <w:jc w:val="left"/>
            </w:pPr>
            <w:r>
              <w:rPr>
                <w:sz w:val="20"/>
              </w:rPr>
              <w:t>2025</w:t>
            </w:r>
            <w:r>
              <w:t xml:space="preserve"> </w:t>
            </w:r>
          </w:p>
        </w:tc>
        <w:tc>
          <w:tcPr>
            <w:tcW w:w="4520" w:type="dxa"/>
            <w:tcBorders>
              <w:top w:val="single" w:sz="33" w:space="0" w:color="EEF3F7"/>
              <w:left w:val="single" w:sz="4" w:space="0" w:color="000000"/>
              <w:bottom w:val="single" w:sz="4" w:space="0" w:color="000000"/>
              <w:right w:val="single" w:sz="4" w:space="0" w:color="000000"/>
            </w:tcBorders>
            <w:shd w:val="clear" w:color="auto" w:fill="EEF3F7"/>
          </w:tcPr>
          <w:p w14:paraId="2A3B507B" w14:textId="77777777" w:rsidR="00CD748F" w:rsidRDefault="00426F7E">
            <w:pPr>
              <w:spacing w:after="0" w:line="259" w:lineRule="auto"/>
              <w:ind w:left="0" w:right="0" w:firstLine="0"/>
            </w:pPr>
            <w:r>
              <w:rPr>
                <w:sz w:val="20"/>
              </w:rPr>
              <w:t>PIB +4,9 % ; +193k emplois ; chômage 13 % ; tourisme record ; lancement commercial 5G</w:t>
            </w:r>
            <w:r>
              <w:t xml:space="preserve"> </w:t>
            </w:r>
          </w:p>
        </w:tc>
        <w:tc>
          <w:tcPr>
            <w:tcW w:w="4163" w:type="dxa"/>
            <w:tcBorders>
              <w:top w:val="single" w:sz="33" w:space="0" w:color="EEF3F7"/>
              <w:left w:val="single" w:sz="4" w:space="0" w:color="000000"/>
              <w:bottom w:val="single" w:sz="4" w:space="0" w:color="000000"/>
              <w:right w:val="single" w:sz="4" w:space="0" w:color="000000"/>
            </w:tcBorders>
            <w:shd w:val="clear" w:color="auto" w:fill="EEF3F7"/>
          </w:tcPr>
          <w:p w14:paraId="408B54ED" w14:textId="77777777" w:rsidR="00CD748F" w:rsidRDefault="00426F7E">
            <w:pPr>
              <w:spacing w:after="0" w:line="259" w:lineRule="auto"/>
              <w:ind w:left="0" w:right="0" w:firstLine="0"/>
            </w:pPr>
            <w:r>
              <w:rPr>
                <w:sz w:val="20"/>
              </w:rPr>
              <w:t>Amélioration agrégée, mais chômage des jeunes et femmes toujours élevé</w:t>
            </w:r>
            <w:r>
              <w:t xml:space="preserve"> </w:t>
            </w:r>
          </w:p>
        </w:tc>
      </w:tr>
      <w:tr w:rsidR="00CD748F" w14:paraId="1146C58E" w14:textId="77777777">
        <w:trPr>
          <w:trHeight w:val="947"/>
        </w:trPr>
        <w:tc>
          <w:tcPr>
            <w:tcW w:w="1277" w:type="dxa"/>
            <w:tcBorders>
              <w:top w:val="single" w:sz="4" w:space="0" w:color="000000"/>
              <w:left w:val="single" w:sz="4" w:space="0" w:color="000000"/>
              <w:bottom w:val="single" w:sz="4" w:space="0" w:color="000000"/>
              <w:right w:val="single" w:sz="4" w:space="0" w:color="000000"/>
            </w:tcBorders>
            <w:vAlign w:val="center"/>
          </w:tcPr>
          <w:p w14:paraId="605E2155" w14:textId="77777777" w:rsidR="00CD748F" w:rsidRDefault="00426F7E">
            <w:pPr>
              <w:spacing w:after="0" w:line="259" w:lineRule="auto"/>
              <w:ind w:left="0" w:right="0" w:firstLine="0"/>
              <w:jc w:val="left"/>
            </w:pPr>
            <w:r>
              <w:rPr>
                <w:sz w:val="20"/>
              </w:rPr>
              <w:t>2026</w:t>
            </w:r>
            <w:r>
              <w:t xml:space="preserve"> </w:t>
            </w:r>
          </w:p>
        </w:tc>
        <w:tc>
          <w:tcPr>
            <w:tcW w:w="4520" w:type="dxa"/>
            <w:tcBorders>
              <w:top w:val="single" w:sz="4" w:space="0" w:color="000000"/>
              <w:left w:val="single" w:sz="4" w:space="0" w:color="000000"/>
              <w:bottom w:val="single" w:sz="4" w:space="0" w:color="000000"/>
              <w:right w:val="single" w:sz="4" w:space="0" w:color="000000"/>
            </w:tcBorders>
            <w:vAlign w:val="center"/>
          </w:tcPr>
          <w:p w14:paraId="16319C7D" w14:textId="77777777" w:rsidR="00CD748F" w:rsidRDefault="00426F7E">
            <w:pPr>
              <w:spacing w:after="0" w:line="259" w:lineRule="auto"/>
              <w:ind w:left="0" w:right="0" w:firstLine="0"/>
            </w:pPr>
            <w:r>
              <w:rPr>
                <w:sz w:val="20"/>
              </w:rPr>
              <w:t>EMO nouvelle méthode ; numérique accéléré ; hydrogène vert ; transition institutionnelle</w:t>
            </w:r>
            <w:r>
              <w:t xml:space="preserve"> </w:t>
            </w:r>
          </w:p>
        </w:tc>
        <w:tc>
          <w:tcPr>
            <w:tcW w:w="4163" w:type="dxa"/>
            <w:tcBorders>
              <w:top w:val="single" w:sz="4" w:space="0" w:color="000000"/>
              <w:left w:val="single" w:sz="4" w:space="0" w:color="000000"/>
              <w:bottom w:val="single" w:sz="4" w:space="0" w:color="000000"/>
              <w:right w:val="single" w:sz="4" w:space="0" w:color="000000"/>
            </w:tcBorders>
            <w:vAlign w:val="center"/>
          </w:tcPr>
          <w:p w14:paraId="084D1C63" w14:textId="77777777" w:rsidR="00CD748F" w:rsidRDefault="00426F7E">
            <w:pPr>
              <w:spacing w:after="0" w:line="259" w:lineRule="auto"/>
              <w:ind w:left="0" w:right="57" w:firstLine="0"/>
            </w:pPr>
            <w:r>
              <w:rPr>
                <w:sz w:val="20"/>
              </w:rPr>
              <w:t xml:space="preserve">Bilan final incomplet sur plusieurs indicateurs </w:t>
            </w:r>
            <w:r>
              <w:rPr>
                <w:sz w:val="20"/>
              </w:rPr>
              <w:t xml:space="preserve">; nécessité d’éviter l’usage rétrospectif de </w:t>
            </w:r>
            <w:r>
              <w:rPr>
                <w:sz w:val="20"/>
              </w:rPr>
              <w:t>prévisions</w:t>
            </w:r>
            <w:r>
              <w:t xml:space="preserve"> </w:t>
            </w:r>
          </w:p>
        </w:tc>
      </w:tr>
    </w:tbl>
    <w:p w14:paraId="631585EA" w14:textId="77777777" w:rsidR="00CD748F" w:rsidRDefault="00426F7E">
      <w:pPr>
        <w:spacing w:after="371" w:line="259" w:lineRule="auto"/>
        <w:ind w:left="0" w:right="0" w:firstLine="0"/>
        <w:jc w:val="left"/>
      </w:pPr>
      <w:r>
        <w:t xml:space="preserve"> </w:t>
      </w:r>
    </w:p>
    <w:p w14:paraId="4BBF5E17" w14:textId="77777777" w:rsidR="00CD748F" w:rsidRDefault="00426F7E">
      <w:pPr>
        <w:pStyle w:val="Titre2"/>
        <w:spacing w:after="139"/>
        <w:ind w:left="-5"/>
      </w:pPr>
      <w:r>
        <w:t xml:space="preserve">IV. AUDIT CONSOLIDÉ DES DIX ENGAGEMENTS </w:t>
      </w:r>
    </w:p>
    <w:p w14:paraId="07896A68" w14:textId="77777777" w:rsidR="00CD748F" w:rsidRDefault="00426F7E">
      <w:pPr>
        <w:pStyle w:val="Titre3"/>
        <w:spacing w:after="69"/>
        <w:ind w:left="0" w:firstLine="0"/>
      </w:pPr>
      <w:r>
        <w:t>1. Un million d’emplois nets</w:t>
      </w:r>
      <w:r>
        <w:t xml:space="preserve"> </w:t>
      </w:r>
    </w:p>
    <w:p w14:paraId="3DC3C749" w14:textId="77777777" w:rsidR="00CD748F" w:rsidRDefault="00426F7E">
      <w:pPr>
        <w:ind w:left="-5" w:right="0"/>
      </w:pPr>
      <w:r>
        <w:t>La promesse doit être évaluée avec le solde national net. Les données ENE donnent +94 000 emplois nets cumulés en 2022</w:t>
      </w:r>
      <w:r>
        <w:rPr>
          <w:rFonts w:cs="Cambria"/>
        </w:rPr>
        <w:t>–</w:t>
      </w:r>
      <w:r>
        <w:t xml:space="preserve">2025. En incluant mécaniquement 2021, le cumul atteint environ +324 000, mais cette année ne peut être attribuée entièrement au cabinet. Le chiffre de 850 000 </w:t>
      </w:r>
      <w:r>
        <w:rPr>
          <w:rFonts w:cs="Cambria"/>
        </w:rPr>
        <w:t xml:space="preserve">présenté en 2026 concerne les secteurs non agricoles. Il s’agit donc d’un changement de périmètre </w:t>
      </w:r>
      <w:r>
        <w:t xml:space="preserve">: on compare des créations sectorielles cumulées à un solde national intégrant les destructions </w:t>
      </w:r>
      <w:r>
        <w:rPr>
          <w:rFonts w:cs="Cambria"/>
        </w:rPr>
        <w:t>agricoles. La différence n’est pas un dé</w:t>
      </w:r>
      <w:r>
        <w:t xml:space="preserve">tail méthodologique ; elle change complètement le verdict. [F2][F3][S1] </w:t>
      </w:r>
    </w:p>
    <w:p w14:paraId="1AC11B81" w14:textId="77777777" w:rsidR="00CD748F" w:rsidRDefault="00426F7E">
      <w:pPr>
        <w:spacing w:after="281" w:line="261" w:lineRule="auto"/>
        <w:ind w:left="-5" w:right="0"/>
      </w:pPr>
      <w:r>
        <w:rPr>
          <w:rFonts w:cs="Cambria"/>
          <w:b/>
        </w:rPr>
        <w:t>VERDICT D’AUDIT</w:t>
      </w:r>
      <w:r>
        <w:t xml:space="preserve">   Échec documenté sur la cible nette. La communication des 850k est </w:t>
      </w:r>
      <w:r>
        <w:rPr>
          <w:rFonts w:cs="Cambria"/>
        </w:rPr>
        <w:t>matériellement trompeuse si elle est comprise comme le million d’emplois nets promis. Une intention frauduleuse n’est pas démontrée.</w:t>
      </w:r>
      <w:r>
        <w:t xml:space="preserve"> </w:t>
      </w:r>
    </w:p>
    <w:p w14:paraId="7D48F17C" w14:textId="77777777" w:rsidR="00CD748F" w:rsidRDefault="00426F7E">
      <w:pPr>
        <w:pStyle w:val="Titre3"/>
        <w:ind w:left="-5"/>
      </w:pPr>
      <w:r>
        <w:t xml:space="preserve">2. Activité féminine &gt;30 % </w:t>
      </w:r>
    </w:p>
    <w:p w14:paraId="72652924" w14:textId="77777777" w:rsidR="00CD748F" w:rsidRDefault="00426F7E">
      <w:pPr>
        <w:spacing w:after="144" w:line="261" w:lineRule="auto"/>
        <w:ind w:left="-5" w:right="0"/>
      </w:pPr>
      <w:r>
        <w:rPr>
          <w:rFonts w:cs="Cambria"/>
        </w:rPr>
        <w:t xml:space="preserve">Le taux d’activité féminin reste à 19 % en 2025. Le chômage féminin atteint 20,5 %. La promesse portait sur l’activité, non sur les dispositifs de formation ou d’insertion. Un gouvernement peut </w:t>
      </w:r>
      <w:r>
        <w:t xml:space="preserve">donc financer des programmes sans que le taux national bouge. </w:t>
      </w:r>
      <w:r>
        <w:rPr>
          <w:rFonts w:cs="Cambria"/>
        </w:rPr>
        <w:t xml:space="preserve">L’audit relève l’absence d’un compte transversal reliant garde d’enfants, transport, sécurité, formalisation et emplois qualifiés </w:t>
      </w:r>
      <w:r>
        <w:t xml:space="preserve">à des jalons annuels. [F1][F3][S1] </w:t>
      </w:r>
    </w:p>
    <w:p w14:paraId="2DE8371A" w14:textId="77777777" w:rsidR="00CD748F" w:rsidRDefault="00426F7E">
      <w:pPr>
        <w:spacing w:after="144" w:line="261" w:lineRule="auto"/>
        <w:ind w:left="-5" w:right="0"/>
      </w:pPr>
      <w:r>
        <w:rPr>
          <w:rFonts w:cs="Cambria"/>
          <w:b/>
        </w:rPr>
        <w:t>VERDICT D’AUDIT</w:t>
      </w:r>
      <w:r>
        <w:t xml:space="preserve">   </w:t>
      </w:r>
      <w:r>
        <w:rPr>
          <w:rFonts w:cs="Cambria"/>
        </w:rPr>
        <w:t>Non atteint. Le retard est d’environ 11 points sur l’indicateur comparable.</w:t>
      </w:r>
      <w:r>
        <w:t xml:space="preserve"> </w:t>
      </w:r>
    </w:p>
    <w:p w14:paraId="40969F03" w14:textId="77777777" w:rsidR="00CD748F" w:rsidRDefault="00426F7E">
      <w:pPr>
        <w:pStyle w:val="Titre3"/>
        <w:ind w:left="-5"/>
      </w:pPr>
      <w:r>
        <w:t xml:space="preserve">3. Généraliser la protection sociale </w:t>
      </w:r>
    </w:p>
    <w:p w14:paraId="6D5F0343" w14:textId="77777777" w:rsidR="00CD748F" w:rsidRDefault="00426F7E">
      <w:pPr>
        <w:spacing w:after="144" w:line="261" w:lineRule="auto"/>
        <w:ind w:left="-5" w:right="0"/>
      </w:pPr>
      <w:r>
        <w:rPr>
          <w:rFonts w:cs="Cambria"/>
        </w:rPr>
        <w:t xml:space="preserve">L’AMO et l’aide directe constituent une transformation institutionnelle réelle. Toutefois, la Cour des comptes montre l’écart entre immatriculation et droits ouverts. Le système doit encore être </w:t>
      </w:r>
      <w:r>
        <w:t xml:space="preserve">évalué sur la disponibilité du soin, les délais, les refus, les restes à charge, la solvabilité des régimes, </w:t>
      </w:r>
      <w:r>
        <w:rPr>
          <w:rFonts w:cs="Cambria"/>
        </w:rPr>
        <w:t xml:space="preserve">la retraite et l’indemnisation de perte d’emploi. L’augmentation des dépenses AMO de 13,62 Md DH à 24,95 Md DH entre 2022 et 2024 (+83 %) alors que les ressources n’augmentaient que de 36 </w:t>
      </w:r>
      <w:r>
        <w:t xml:space="preserve">% pose un sujet de soutenabilité. [F1][F3] </w:t>
      </w:r>
    </w:p>
    <w:p w14:paraId="710D24FC" w14:textId="77777777" w:rsidR="00CD748F" w:rsidRDefault="00426F7E">
      <w:pPr>
        <w:spacing w:after="273"/>
        <w:ind w:left="-5" w:right="0"/>
      </w:pPr>
      <w:r>
        <w:rPr>
          <w:rFonts w:cs="Cambria"/>
          <w:b/>
        </w:rPr>
        <w:t>VERDICT D’AUDIT</w:t>
      </w:r>
      <w:r>
        <w:t xml:space="preserve">   Partiellement atteint : réforme majeure, généralisation effective et soutenable non certifiée. </w:t>
      </w:r>
    </w:p>
    <w:p w14:paraId="2050DD4C" w14:textId="77777777" w:rsidR="00CD748F" w:rsidRDefault="00426F7E">
      <w:pPr>
        <w:pStyle w:val="Titre3"/>
        <w:ind w:left="-5"/>
      </w:pPr>
      <w:r>
        <w:t xml:space="preserve">4. Protéger et élargir la classe moyenne </w:t>
      </w:r>
    </w:p>
    <w:p w14:paraId="594668ED" w14:textId="77777777" w:rsidR="00CD748F" w:rsidRDefault="00426F7E">
      <w:pPr>
        <w:ind w:left="-5" w:right="0"/>
      </w:pPr>
      <w:r>
        <w:rPr>
          <w:rFonts w:cs="Cambria"/>
        </w:rPr>
        <w:t xml:space="preserve">L’objectif est distributif, donc il faut mesurer le revenu disponible réel après inflation, impôts et </w:t>
      </w:r>
      <w:r>
        <w:t>transferts. La catégorie intermédiaire a enregistré une baisse de 4,3 % du niveau de vie réel entre 2019 et 2022. La hausse cumulative des prix depuis 202</w:t>
      </w:r>
      <w:r>
        <w:rPr>
          <w:rFonts w:cs="Cambria"/>
        </w:rPr>
        <w:t xml:space="preserve">1 accentue le risque d’érosion. Les </w:t>
      </w:r>
      <w:r>
        <w:t xml:space="preserve">revalorisations salariales et transferts ont amélioré le revenu nominal de certains ménages, mais aucune série publique consolidée par décile et milieu de résidence ne permet de conclure sur un gain net. [F1][F2] </w:t>
      </w:r>
    </w:p>
    <w:p w14:paraId="7D342E66" w14:textId="77777777" w:rsidR="00CD748F" w:rsidRDefault="00426F7E">
      <w:pPr>
        <w:spacing w:after="285" w:line="259" w:lineRule="auto"/>
        <w:ind w:left="-5" w:right="0"/>
        <w:jc w:val="left"/>
      </w:pPr>
      <w:r>
        <w:rPr>
          <w:rFonts w:cs="Cambria"/>
          <w:b/>
        </w:rPr>
        <w:t>VERDICT D’AUDIT</w:t>
      </w:r>
      <w:r>
        <w:t xml:space="preserve">   Non démontré. </w:t>
      </w:r>
    </w:p>
    <w:p w14:paraId="55E50B3F" w14:textId="77777777" w:rsidR="00CD748F" w:rsidRDefault="00426F7E">
      <w:pPr>
        <w:pStyle w:val="Titre3"/>
        <w:ind w:left="-5"/>
      </w:pPr>
      <w:r>
        <w:t xml:space="preserve">5. Top 60 éducatif </w:t>
      </w:r>
    </w:p>
    <w:p w14:paraId="4EED4408" w14:textId="77777777" w:rsidR="00CD748F" w:rsidRDefault="00426F7E">
      <w:pPr>
        <w:ind w:left="-5" w:right="0"/>
      </w:pPr>
      <w:r>
        <w:t xml:space="preserve">La cible est un classement international. PISA 2022 place le Maroc 71e en mathématiques, 79e en lecture et 76e en sciences sur 81 participants. Le communiqué PISA 2025 fournit des scores mais pas, dans les documents retenus, un rang comparable certifiant le top 60. Les investissements de qualité/formation ont connu des exécutions de 38,8 % en 2022 et 63,1 % en 2023 ; </w:t>
      </w:r>
      <w:r>
        <w:rPr>
          <w:rFonts w:cs="Cambria"/>
        </w:rPr>
        <w:t>l’investissement du ministère atteint 65,2 % en 2024. [F1][F3]</w:t>
      </w:r>
      <w:r>
        <w:t xml:space="preserve"> </w:t>
      </w:r>
    </w:p>
    <w:p w14:paraId="7F57C011" w14:textId="77777777" w:rsidR="00CD748F" w:rsidRDefault="00426F7E">
      <w:pPr>
        <w:spacing w:after="273"/>
        <w:ind w:left="-5" w:right="0"/>
      </w:pPr>
      <w:r>
        <w:rPr>
          <w:rFonts w:cs="Cambria"/>
          <w:b/>
        </w:rPr>
        <w:t>VERDICT D’AUDIT</w:t>
      </w:r>
      <w:r>
        <w:t xml:space="preserve">   Non atteint dans la référence comparable ; progrès administratifs insuffisants pour certifier le résultat. </w:t>
      </w:r>
    </w:p>
    <w:p w14:paraId="64705238" w14:textId="77777777" w:rsidR="00CD748F" w:rsidRDefault="00426F7E">
      <w:pPr>
        <w:pStyle w:val="Titre3"/>
        <w:ind w:left="-5"/>
      </w:pPr>
      <w:r>
        <w:t xml:space="preserve">6. Amazighe et milliard de DH en 2025 </w:t>
      </w:r>
    </w:p>
    <w:p w14:paraId="440F2CE6" w14:textId="77777777" w:rsidR="00CD748F" w:rsidRDefault="00426F7E">
      <w:pPr>
        <w:ind w:left="-5" w:right="0"/>
      </w:pPr>
      <w:r>
        <w:t xml:space="preserve">La cible financière 2025 a été rephasée vers 2026. Le risque est ici de transformer un retard en </w:t>
      </w:r>
      <w:r>
        <w:rPr>
          <w:rFonts w:cs="Cambria"/>
        </w:rPr>
        <w:t xml:space="preserve">nouvelle cible. Les postes annoncés, la signalétique et l’intégration progressive de l’amazighe sont </w:t>
      </w:r>
      <w:r>
        <w:t xml:space="preserve">des outputs ; ils ne prouvent pas à eux seuls la couverture effective des services et de </w:t>
      </w:r>
      <w:r>
        <w:rPr>
          <w:rFonts w:cs="Cambria"/>
        </w:rPr>
        <w:t>l’enseignement. [F1][F3]</w:t>
      </w:r>
      <w:r>
        <w:t xml:space="preserve"> </w:t>
      </w:r>
    </w:p>
    <w:p w14:paraId="153A4561" w14:textId="77777777" w:rsidR="00CD748F" w:rsidRDefault="00426F7E">
      <w:pPr>
        <w:spacing w:after="274"/>
        <w:ind w:left="-5" w:right="0"/>
      </w:pPr>
      <w:r>
        <w:rPr>
          <w:rFonts w:cs="Cambria"/>
          <w:b/>
        </w:rPr>
        <w:t>VERDICT D’AUDIT</w:t>
      </w:r>
      <w:r>
        <w:t xml:space="preserve">   Jalon reporté ; exécution financière et couverture effective non certifiées. </w:t>
      </w:r>
    </w:p>
    <w:p w14:paraId="77845B33" w14:textId="77777777" w:rsidR="00CD748F" w:rsidRDefault="00426F7E">
      <w:pPr>
        <w:pStyle w:val="Titre3"/>
        <w:ind w:left="-5"/>
      </w:pPr>
      <w:r>
        <w:t xml:space="preserve">7. Croissance à 4 % sur cinq ans </w:t>
      </w:r>
    </w:p>
    <w:p w14:paraId="2BAB9FE0" w14:textId="77777777" w:rsidR="00CD748F" w:rsidRDefault="00426F7E">
      <w:pPr>
        <w:spacing w:after="144" w:line="261" w:lineRule="auto"/>
        <w:ind w:left="-5" w:right="0"/>
      </w:pPr>
      <w:r>
        <w:t>La moyenne des taux 2022</w:t>
      </w:r>
      <w:r>
        <w:rPr>
          <w:rFonts w:cs="Cambria"/>
        </w:rPr>
        <w:t>–</w:t>
      </w:r>
      <w:r>
        <w:t xml:space="preserve">2025 ressort à environ 3,65 %. Une prévision 2026 de 4,8 % conduirait </w:t>
      </w:r>
      <w:r>
        <w:rPr>
          <w:rFonts w:cs="Cambria"/>
        </w:rPr>
        <w:t xml:space="preserve">à environ 3,88 %, mais 2026 n’est pas une réalisation au 7 octobre. De plus, la promesse n’explicitait pas clairement s’il fallait retenir une moyenne arithmétique, un taux terminal ou une </w:t>
      </w:r>
      <w:r>
        <w:t xml:space="preserve">croissance composée. [F2][F3] </w:t>
      </w:r>
    </w:p>
    <w:p w14:paraId="722120E0" w14:textId="77777777" w:rsidR="00CD748F" w:rsidRDefault="00426F7E">
      <w:pPr>
        <w:spacing w:after="274"/>
        <w:ind w:left="-5" w:right="0"/>
      </w:pPr>
      <w:r>
        <w:rPr>
          <w:rFonts w:cs="Cambria"/>
          <w:b/>
        </w:rPr>
        <w:t>VERDICT D’AUDIT</w:t>
      </w:r>
      <w:r>
        <w:t xml:space="preserve">   Proche, mais non certifiée. </w:t>
      </w:r>
    </w:p>
    <w:p w14:paraId="7BF71CAB" w14:textId="77777777" w:rsidR="00CD748F" w:rsidRDefault="00426F7E">
      <w:pPr>
        <w:pStyle w:val="Titre3"/>
        <w:ind w:left="-5"/>
      </w:pPr>
      <w:r>
        <w:t xml:space="preserve">8. Sortir un million de familles de la pauvreté </w:t>
      </w:r>
    </w:p>
    <w:p w14:paraId="5213D085" w14:textId="77777777" w:rsidR="00CD748F" w:rsidRDefault="00426F7E">
      <w:pPr>
        <w:ind w:left="-5" w:right="0"/>
      </w:pPr>
      <w:r>
        <w:rPr>
          <w:rFonts w:cs="Cambria"/>
        </w:rPr>
        <w:t xml:space="preserve">L’aide directe touche environ 3,9–4 millions de familles, mais le nombre de bénéficiaires n’est pas </w:t>
      </w:r>
      <w:r>
        <w:t xml:space="preserve">le nombre de familles sorties durablement de la pauvreté. La mesure nécessite un suivi </w:t>
      </w:r>
      <w:r>
        <w:rPr>
          <w:rFonts w:cs="Cambria"/>
        </w:rPr>
        <w:t>longitudinal du revenu réel, de l’aide, de la vulnérabilité et du ret</w:t>
      </w:r>
      <w:r>
        <w:t xml:space="preserve">our sous le seuil. Les données HCP disponibles ne fournissent pas encore une série comparable postérieure au plein déploiement de </w:t>
      </w:r>
      <w:r>
        <w:rPr>
          <w:rFonts w:cs="Cambria"/>
        </w:rPr>
        <w:t>l’aide. [F2][F3]</w:t>
      </w:r>
      <w:r>
        <w:t xml:space="preserve"> </w:t>
      </w:r>
    </w:p>
    <w:p w14:paraId="5D3356A8" w14:textId="77777777" w:rsidR="00CD748F" w:rsidRDefault="00426F7E">
      <w:pPr>
        <w:spacing w:after="285" w:line="259" w:lineRule="auto"/>
        <w:ind w:left="-5" w:right="0"/>
        <w:jc w:val="left"/>
      </w:pPr>
      <w:r>
        <w:rPr>
          <w:rFonts w:cs="Cambria"/>
          <w:b/>
        </w:rPr>
        <w:t>VERDICT D’AUDIT</w:t>
      </w:r>
      <w:r>
        <w:t xml:space="preserve">   Non démontré. </w:t>
      </w:r>
    </w:p>
    <w:p w14:paraId="15904ACB" w14:textId="77777777" w:rsidR="00CD748F" w:rsidRDefault="00426F7E">
      <w:pPr>
        <w:pStyle w:val="Titre3"/>
        <w:ind w:left="-5"/>
      </w:pPr>
      <w:r>
        <w:t xml:space="preserve">9. Gini sous 39 % </w:t>
      </w:r>
    </w:p>
    <w:p w14:paraId="5B920677" w14:textId="77777777" w:rsidR="00CD748F" w:rsidRDefault="00426F7E">
      <w:pPr>
        <w:ind w:left="-5" w:right="0"/>
      </w:pPr>
      <w:r>
        <w:t xml:space="preserve">Le 46,4 % de référence est un Gini des revenus en 2019 ; le 40,5 % est un Gini des dépenses par tête en 2022. Dans la série comparable des dépenses, le Gini est passé de 38,5 % à 40,5 %, soit une détérioration. Il est statistiquement impossible de proclamer une baisse en comparant deux concepts différents. [F2][F3] </w:t>
      </w:r>
    </w:p>
    <w:p w14:paraId="0C0EF054" w14:textId="77777777" w:rsidR="00CD748F" w:rsidRDefault="00426F7E">
      <w:pPr>
        <w:spacing w:after="274"/>
        <w:ind w:left="-5" w:right="0"/>
      </w:pPr>
      <w:r>
        <w:rPr>
          <w:rFonts w:cs="Cambria"/>
          <w:b/>
        </w:rPr>
        <w:t>VERDICT D’AUDIT</w:t>
      </w:r>
      <w:r>
        <w:t xml:space="preserve">   Non certifiable. </w:t>
      </w:r>
    </w:p>
    <w:p w14:paraId="34268BFA" w14:textId="77777777" w:rsidR="00CD748F" w:rsidRDefault="00426F7E">
      <w:pPr>
        <w:pStyle w:val="Titre3"/>
        <w:ind w:left="-5"/>
      </w:pPr>
      <w:r>
        <w:t xml:space="preserve">10. Préscolaire universel à 4 ans </w:t>
      </w:r>
    </w:p>
    <w:p w14:paraId="45D4B7E8" w14:textId="77777777" w:rsidR="00CD748F" w:rsidRDefault="00426F7E">
      <w:pPr>
        <w:spacing w:after="2"/>
        <w:ind w:left="-5" w:right="0"/>
      </w:pPr>
      <w:r>
        <w:t>Le CSEFRS donne 70,4 % des enfants de 4</w:t>
      </w:r>
      <w:r>
        <w:rPr>
          <w:rFonts w:cs="Cambria"/>
        </w:rPr>
        <w:t>–</w:t>
      </w:r>
      <w:r>
        <w:t>5 ans couverts en 2024</w:t>
      </w:r>
      <w:r>
        <w:rPr>
          <w:rFonts w:cs="Cambria"/>
        </w:rPr>
        <w:t>–</w:t>
      </w:r>
      <w:r>
        <w:t>2025, tandis que le ministère annonce 85 % pour 2025</w:t>
      </w:r>
      <w:r>
        <w:rPr>
          <w:rFonts w:cs="Cambria"/>
        </w:rPr>
        <w:t>–</w:t>
      </w:r>
      <w:r>
        <w:t>2026. Les périmètres ne sont pas nécessairement identiques. La généralisation complète est annoncée pour 2027</w:t>
      </w:r>
      <w:r>
        <w:rPr>
          <w:rFonts w:cs="Cambria"/>
        </w:rPr>
        <w:t>–2028, donc hors de l’horizon i</w:t>
      </w:r>
      <w:r>
        <w:t xml:space="preserve">nitial. La question </w:t>
      </w:r>
      <w:r>
        <w:rPr>
          <w:rFonts w:cs="Cambria"/>
        </w:rPr>
        <w:t xml:space="preserve">de qualité, d’assiduité et de disponibilité réelle des places reste distincte du taux d’inscription. </w:t>
      </w:r>
    </w:p>
    <w:p w14:paraId="0CA02111" w14:textId="77777777" w:rsidR="00CD748F" w:rsidRDefault="00426F7E">
      <w:pPr>
        <w:ind w:left="-5" w:right="0"/>
      </w:pPr>
      <w:r>
        <w:t xml:space="preserve">[F2][F3] </w:t>
      </w:r>
    </w:p>
    <w:p w14:paraId="76213E39" w14:textId="77777777" w:rsidR="00CD748F" w:rsidRDefault="00426F7E">
      <w:pPr>
        <w:spacing w:after="144" w:line="261" w:lineRule="auto"/>
        <w:ind w:left="-5" w:right="0"/>
      </w:pPr>
      <w:r>
        <w:rPr>
          <w:rFonts w:cs="Cambria"/>
          <w:b/>
        </w:rPr>
        <w:t>VERDICT D’AUDIT</w:t>
      </w:r>
      <w:r>
        <w:t xml:space="preserve">   </w:t>
      </w:r>
      <w:r>
        <w:rPr>
          <w:rFonts w:cs="Cambria"/>
        </w:rPr>
        <w:t>Progrès réel, cible du mandat non atteinte à l’horizon initial.</w:t>
      </w:r>
      <w:r>
        <w:t xml:space="preserve"> </w:t>
      </w:r>
    </w:p>
    <w:p w14:paraId="745D019F" w14:textId="77777777" w:rsidR="00CD748F" w:rsidRDefault="00426F7E">
      <w:pPr>
        <w:spacing w:after="0" w:line="259" w:lineRule="auto"/>
        <w:ind w:left="0" w:right="0" w:firstLine="0"/>
        <w:jc w:val="left"/>
      </w:pPr>
      <w:r>
        <w:t xml:space="preserve"> </w:t>
      </w:r>
      <w:r>
        <w:tab/>
        <w:t xml:space="preserve"> </w:t>
      </w:r>
    </w:p>
    <w:p w14:paraId="2F1426C6" w14:textId="77777777" w:rsidR="00CD748F" w:rsidRDefault="00426F7E">
      <w:pPr>
        <w:pStyle w:val="Titre2"/>
        <w:spacing w:after="0" w:line="259" w:lineRule="auto"/>
        <w:ind w:left="-5"/>
      </w:pPr>
      <w:r>
        <w:t xml:space="preserve">V. AUDIT TRANSVERSAL DES FINANCES PUBLIQUES ET </w:t>
      </w:r>
      <w:r>
        <w:t>DE L’EXÉCUTION</w:t>
      </w:r>
      <w:r>
        <w:t xml:space="preserve"> </w:t>
      </w:r>
    </w:p>
    <w:p w14:paraId="33205711" w14:textId="77777777" w:rsidR="00CD748F" w:rsidRDefault="00426F7E">
      <w:pPr>
        <w:spacing w:after="0"/>
        <w:ind w:left="-5" w:right="0"/>
      </w:pPr>
      <w:r>
        <w:rPr>
          <w:rFonts w:cs="Cambria"/>
        </w:rPr>
        <w:t xml:space="preserve">L’évolution des crédits montre une capacité de mobilisation budgétaire élevée. Les crédits </w:t>
      </w:r>
      <w:r>
        <w:t xml:space="preserve">définitifs du budget général dépassent les crédits initiaux de 15,6 % en 2022, 12,6 % en 2023 et 10,9 % en 2024. Les crédits supplémentaires, virements, reports et dépassements sont normaux dans certaines circonstances budgétaires, mais ils rendent indispensable une présentation sur </w:t>
      </w:r>
      <w:r>
        <w:rPr>
          <w:rFonts w:cs="Cambria"/>
        </w:rPr>
        <w:t xml:space="preserve">crédits définitifs pour apprécier le niveau réel d’exécution. </w:t>
      </w:r>
      <w:r>
        <w:t xml:space="preserve">[F1][F3][S2] </w:t>
      </w:r>
    </w:p>
    <w:tbl>
      <w:tblPr>
        <w:tblStyle w:val="TableGrid"/>
        <w:tblW w:w="9961" w:type="dxa"/>
        <w:tblInd w:w="7" w:type="dxa"/>
        <w:tblCellMar>
          <w:top w:w="83" w:type="dxa"/>
          <w:left w:w="98" w:type="dxa"/>
          <w:bottom w:w="0" w:type="dxa"/>
          <w:right w:w="115" w:type="dxa"/>
        </w:tblCellMar>
        <w:tblLook w:val="04A0" w:firstRow="1" w:lastRow="0" w:firstColumn="1" w:lastColumn="0" w:noHBand="0" w:noVBand="1"/>
      </w:tblPr>
      <w:tblGrid>
        <w:gridCol w:w="1575"/>
        <w:gridCol w:w="2084"/>
        <w:gridCol w:w="2101"/>
        <w:gridCol w:w="2105"/>
        <w:gridCol w:w="2096"/>
      </w:tblGrid>
      <w:tr w:rsidR="00CD748F" w14:paraId="1A419D7C" w14:textId="77777777">
        <w:trPr>
          <w:trHeight w:val="371"/>
        </w:trPr>
        <w:tc>
          <w:tcPr>
            <w:tcW w:w="1575" w:type="dxa"/>
            <w:tcBorders>
              <w:top w:val="single" w:sz="4" w:space="0" w:color="000000"/>
              <w:left w:val="single" w:sz="4" w:space="0" w:color="000000"/>
              <w:bottom w:val="single" w:sz="33" w:space="0" w:color="EEF3F7"/>
              <w:right w:val="single" w:sz="4" w:space="0" w:color="000000"/>
            </w:tcBorders>
            <w:shd w:val="clear" w:color="auto" w:fill="163A5F"/>
          </w:tcPr>
          <w:p w14:paraId="7AB8F88B" w14:textId="77777777" w:rsidR="00CD748F" w:rsidRDefault="00426F7E">
            <w:pPr>
              <w:spacing w:after="0" w:line="259" w:lineRule="auto"/>
              <w:ind w:left="0" w:right="0" w:firstLine="0"/>
              <w:jc w:val="left"/>
            </w:pPr>
            <w:r>
              <w:rPr>
                <w:b/>
                <w:color w:val="FFFFFF"/>
                <w:sz w:val="20"/>
              </w:rPr>
              <w:t>Année</w:t>
            </w:r>
            <w:r>
              <w:rPr>
                <w:color w:val="FFFFFF"/>
              </w:rPr>
              <w:t xml:space="preserve"> </w:t>
            </w:r>
          </w:p>
        </w:tc>
        <w:tc>
          <w:tcPr>
            <w:tcW w:w="2084" w:type="dxa"/>
            <w:tcBorders>
              <w:top w:val="single" w:sz="4" w:space="0" w:color="000000"/>
              <w:left w:val="single" w:sz="4" w:space="0" w:color="000000"/>
              <w:bottom w:val="single" w:sz="33" w:space="0" w:color="EEF3F7"/>
              <w:right w:val="single" w:sz="4" w:space="0" w:color="000000"/>
            </w:tcBorders>
            <w:shd w:val="clear" w:color="auto" w:fill="163A5F"/>
          </w:tcPr>
          <w:p w14:paraId="2523F6BE" w14:textId="77777777" w:rsidR="00CD748F" w:rsidRDefault="00426F7E">
            <w:pPr>
              <w:spacing w:after="0" w:line="259" w:lineRule="auto"/>
              <w:ind w:left="0" w:right="0" w:firstLine="0"/>
              <w:jc w:val="left"/>
            </w:pPr>
            <w:r>
              <w:rPr>
                <w:b/>
                <w:color w:val="FFFFFF"/>
                <w:sz w:val="20"/>
              </w:rPr>
              <w:t>Initiaux Md DH</w:t>
            </w:r>
            <w:r>
              <w:rPr>
                <w:color w:val="FFFFFF"/>
              </w:rPr>
              <w:t xml:space="preserve"> </w:t>
            </w:r>
          </w:p>
        </w:tc>
        <w:tc>
          <w:tcPr>
            <w:tcW w:w="2101" w:type="dxa"/>
            <w:tcBorders>
              <w:top w:val="single" w:sz="4" w:space="0" w:color="000000"/>
              <w:left w:val="single" w:sz="4" w:space="0" w:color="000000"/>
              <w:bottom w:val="single" w:sz="33" w:space="0" w:color="EEF3F7"/>
              <w:right w:val="single" w:sz="4" w:space="0" w:color="000000"/>
            </w:tcBorders>
            <w:shd w:val="clear" w:color="auto" w:fill="163A5F"/>
          </w:tcPr>
          <w:p w14:paraId="6FBD8F71" w14:textId="77777777" w:rsidR="00CD748F" w:rsidRDefault="00426F7E">
            <w:pPr>
              <w:spacing w:after="0" w:line="259" w:lineRule="auto"/>
              <w:ind w:left="0" w:right="0" w:firstLine="0"/>
              <w:jc w:val="left"/>
            </w:pPr>
            <w:r>
              <w:rPr>
                <w:b/>
                <w:color w:val="FFFFFF"/>
                <w:sz w:val="20"/>
              </w:rPr>
              <w:t>Définitifs Md DH</w:t>
            </w:r>
            <w:r>
              <w:rPr>
                <w:color w:val="FFFFFF"/>
              </w:rPr>
              <w:t xml:space="preserve"> </w:t>
            </w:r>
          </w:p>
        </w:tc>
        <w:tc>
          <w:tcPr>
            <w:tcW w:w="2105" w:type="dxa"/>
            <w:tcBorders>
              <w:top w:val="single" w:sz="4" w:space="0" w:color="000000"/>
              <w:left w:val="single" w:sz="4" w:space="0" w:color="000000"/>
              <w:bottom w:val="single" w:sz="33" w:space="0" w:color="EEF3F7"/>
              <w:right w:val="single" w:sz="4" w:space="0" w:color="000000"/>
            </w:tcBorders>
            <w:shd w:val="clear" w:color="auto" w:fill="163A5F"/>
          </w:tcPr>
          <w:p w14:paraId="5634D9A3" w14:textId="77777777" w:rsidR="00CD748F" w:rsidRDefault="00426F7E">
            <w:pPr>
              <w:spacing w:after="0" w:line="259" w:lineRule="auto"/>
              <w:ind w:left="2" w:right="0" w:firstLine="0"/>
              <w:jc w:val="left"/>
            </w:pPr>
            <w:r>
              <w:rPr>
                <w:b/>
                <w:color w:val="FFFFFF"/>
                <w:sz w:val="20"/>
              </w:rPr>
              <w:t>Dépenses Md DH</w:t>
            </w:r>
            <w:r>
              <w:rPr>
                <w:color w:val="FFFFFF"/>
              </w:rPr>
              <w:t xml:space="preserve"> </w:t>
            </w:r>
          </w:p>
        </w:tc>
        <w:tc>
          <w:tcPr>
            <w:tcW w:w="2096" w:type="dxa"/>
            <w:tcBorders>
              <w:top w:val="single" w:sz="4" w:space="0" w:color="000000"/>
              <w:left w:val="single" w:sz="4" w:space="0" w:color="000000"/>
              <w:bottom w:val="single" w:sz="33" w:space="0" w:color="EEF3F7"/>
              <w:right w:val="single" w:sz="4" w:space="0" w:color="000000"/>
            </w:tcBorders>
            <w:shd w:val="clear" w:color="auto" w:fill="163A5F"/>
          </w:tcPr>
          <w:p w14:paraId="448E1828" w14:textId="77777777" w:rsidR="00CD748F" w:rsidRDefault="00426F7E">
            <w:pPr>
              <w:spacing w:after="0" w:line="259" w:lineRule="auto"/>
              <w:ind w:left="3" w:right="0" w:firstLine="0"/>
              <w:jc w:val="left"/>
            </w:pPr>
            <w:r>
              <w:rPr>
                <w:b/>
                <w:color w:val="FFFFFF"/>
                <w:sz w:val="20"/>
              </w:rPr>
              <w:t>Taux / définitifs</w:t>
            </w:r>
            <w:r>
              <w:rPr>
                <w:color w:val="FFFFFF"/>
              </w:rPr>
              <w:t xml:space="preserve"> </w:t>
            </w:r>
          </w:p>
        </w:tc>
      </w:tr>
      <w:tr w:rsidR="00CD748F" w14:paraId="5A11AC8D" w14:textId="77777777">
        <w:trPr>
          <w:trHeight w:val="412"/>
        </w:trPr>
        <w:tc>
          <w:tcPr>
            <w:tcW w:w="1575" w:type="dxa"/>
            <w:tcBorders>
              <w:top w:val="single" w:sz="33" w:space="0" w:color="EEF3F7"/>
              <w:left w:val="single" w:sz="4" w:space="0" w:color="000000"/>
              <w:bottom w:val="single" w:sz="4" w:space="0" w:color="000000"/>
              <w:right w:val="single" w:sz="4" w:space="0" w:color="000000"/>
            </w:tcBorders>
            <w:shd w:val="clear" w:color="auto" w:fill="EEF3F7"/>
          </w:tcPr>
          <w:p w14:paraId="6243678D" w14:textId="77777777" w:rsidR="00CD748F" w:rsidRDefault="00426F7E">
            <w:pPr>
              <w:spacing w:after="0" w:line="259" w:lineRule="auto"/>
              <w:ind w:left="0" w:right="0" w:firstLine="0"/>
              <w:jc w:val="left"/>
            </w:pPr>
            <w:r>
              <w:rPr>
                <w:sz w:val="20"/>
              </w:rPr>
              <w:t>2022</w:t>
            </w:r>
            <w:r>
              <w:t xml:space="preserve"> </w:t>
            </w:r>
          </w:p>
        </w:tc>
        <w:tc>
          <w:tcPr>
            <w:tcW w:w="2084" w:type="dxa"/>
            <w:tcBorders>
              <w:top w:val="single" w:sz="33" w:space="0" w:color="EEF3F7"/>
              <w:left w:val="single" w:sz="4" w:space="0" w:color="000000"/>
              <w:bottom w:val="single" w:sz="4" w:space="0" w:color="000000"/>
              <w:right w:val="single" w:sz="4" w:space="0" w:color="000000"/>
            </w:tcBorders>
            <w:shd w:val="clear" w:color="auto" w:fill="EEF3F7"/>
          </w:tcPr>
          <w:p w14:paraId="4EE86D54" w14:textId="77777777" w:rsidR="00CD748F" w:rsidRDefault="00426F7E">
            <w:pPr>
              <w:spacing w:after="0" w:line="259" w:lineRule="auto"/>
              <w:ind w:left="0" w:right="0" w:firstLine="0"/>
              <w:jc w:val="left"/>
            </w:pPr>
            <w:r>
              <w:rPr>
                <w:sz w:val="20"/>
              </w:rPr>
              <w:t>419,7</w:t>
            </w:r>
            <w:r>
              <w:t xml:space="preserve"> </w:t>
            </w:r>
          </w:p>
        </w:tc>
        <w:tc>
          <w:tcPr>
            <w:tcW w:w="2101" w:type="dxa"/>
            <w:tcBorders>
              <w:top w:val="single" w:sz="33" w:space="0" w:color="EEF3F7"/>
              <w:left w:val="single" w:sz="4" w:space="0" w:color="000000"/>
              <w:bottom w:val="single" w:sz="4" w:space="0" w:color="000000"/>
              <w:right w:val="single" w:sz="4" w:space="0" w:color="000000"/>
            </w:tcBorders>
            <w:shd w:val="clear" w:color="auto" w:fill="EEF3F7"/>
          </w:tcPr>
          <w:p w14:paraId="45B718F1" w14:textId="77777777" w:rsidR="00CD748F" w:rsidRDefault="00426F7E">
            <w:pPr>
              <w:spacing w:after="0" w:line="259" w:lineRule="auto"/>
              <w:ind w:left="0" w:right="0" w:firstLine="0"/>
              <w:jc w:val="left"/>
            </w:pPr>
            <w:r>
              <w:rPr>
                <w:sz w:val="20"/>
              </w:rPr>
              <w:t>485,2</w:t>
            </w:r>
            <w:r>
              <w:t xml:space="preserve"> </w:t>
            </w:r>
          </w:p>
        </w:tc>
        <w:tc>
          <w:tcPr>
            <w:tcW w:w="2105" w:type="dxa"/>
            <w:tcBorders>
              <w:top w:val="single" w:sz="33" w:space="0" w:color="EEF3F7"/>
              <w:left w:val="single" w:sz="4" w:space="0" w:color="000000"/>
              <w:bottom w:val="single" w:sz="4" w:space="0" w:color="000000"/>
              <w:right w:val="single" w:sz="4" w:space="0" w:color="000000"/>
            </w:tcBorders>
            <w:shd w:val="clear" w:color="auto" w:fill="EEF3F7"/>
          </w:tcPr>
          <w:p w14:paraId="1C449ED5" w14:textId="77777777" w:rsidR="00CD748F" w:rsidRDefault="00426F7E">
            <w:pPr>
              <w:spacing w:after="0" w:line="259" w:lineRule="auto"/>
              <w:ind w:left="2" w:right="0" w:firstLine="0"/>
              <w:jc w:val="left"/>
            </w:pPr>
            <w:r>
              <w:rPr>
                <w:sz w:val="20"/>
              </w:rPr>
              <w:t>462,4</w:t>
            </w:r>
            <w:r>
              <w:t xml:space="preserve"> </w:t>
            </w:r>
          </w:p>
        </w:tc>
        <w:tc>
          <w:tcPr>
            <w:tcW w:w="2096" w:type="dxa"/>
            <w:tcBorders>
              <w:top w:val="single" w:sz="33" w:space="0" w:color="EEF3F7"/>
              <w:left w:val="single" w:sz="4" w:space="0" w:color="000000"/>
              <w:bottom w:val="single" w:sz="4" w:space="0" w:color="000000"/>
              <w:right w:val="single" w:sz="4" w:space="0" w:color="000000"/>
            </w:tcBorders>
            <w:shd w:val="clear" w:color="auto" w:fill="EEF3F7"/>
          </w:tcPr>
          <w:p w14:paraId="0F8E1D96" w14:textId="77777777" w:rsidR="00CD748F" w:rsidRDefault="00426F7E">
            <w:pPr>
              <w:spacing w:after="0" w:line="259" w:lineRule="auto"/>
              <w:ind w:left="3" w:right="0" w:firstLine="0"/>
              <w:jc w:val="left"/>
            </w:pPr>
            <w:r>
              <w:rPr>
                <w:sz w:val="20"/>
              </w:rPr>
              <w:t>95,3 %</w:t>
            </w:r>
            <w:r>
              <w:t xml:space="preserve"> </w:t>
            </w:r>
          </w:p>
        </w:tc>
      </w:tr>
      <w:tr w:rsidR="00CD748F" w14:paraId="36CB10FF" w14:textId="77777777">
        <w:trPr>
          <w:trHeight w:val="511"/>
        </w:trPr>
        <w:tc>
          <w:tcPr>
            <w:tcW w:w="1575" w:type="dxa"/>
            <w:tcBorders>
              <w:top w:val="single" w:sz="4" w:space="0" w:color="000000"/>
              <w:left w:val="single" w:sz="4" w:space="0" w:color="000000"/>
              <w:bottom w:val="single" w:sz="4" w:space="0" w:color="000000"/>
              <w:right w:val="single" w:sz="4" w:space="0" w:color="000000"/>
            </w:tcBorders>
            <w:vAlign w:val="center"/>
          </w:tcPr>
          <w:p w14:paraId="73158BBD" w14:textId="77777777" w:rsidR="00CD748F" w:rsidRDefault="00426F7E">
            <w:pPr>
              <w:spacing w:after="0" w:line="259" w:lineRule="auto"/>
              <w:ind w:left="0" w:right="0" w:firstLine="0"/>
              <w:jc w:val="left"/>
            </w:pPr>
            <w:r>
              <w:rPr>
                <w:sz w:val="20"/>
              </w:rPr>
              <w:t>2023</w:t>
            </w:r>
            <w:r>
              <w:t xml:space="preserve"> </w:t>
            </w:r>
          </w:p>
        </w:tc>
        <w:tc>
          <w:tcPr>
            <w:tcW w:w="2084" w:type="dxa"/>
            <w:tcBorders>
              <w:top w:val="single" w:sz="4" w:space="0" w:color="000000"/>
              <w:left w:val="single" w:sz="4" w:space="0" w:color="000000"/>
              <w:bottom w:val="single" w:sz="4" w:space="0" w:color="000000"/>
              <w:right w:val="single" w:sz="4" w:space="0" w:color="000000"/>
            </w:tcBorders>
            <w:vAlign w:val="center"/>
          </w:tcPr>
          <w:p w14:paraId="1C9ECECB" w14:textId="77777777" w:rsidR="00CD748F" w:rsidRDefault="00426F7E">
            <w:pPr>
              <w:spacing w:after="0" w:line="259" w:lineRule="auto"/>
              <w:ind w:left="0" w:right="0" w:firstLine="0"/>
              <w:jc w:val="left"/>
            </w:pPr>
            <w:r>
              <w:rPr>
                <w:sz w:val="20"/>
              </w:rPr>
              <w:t>486,4</w:t>
            </w:r>
            <w:r>
              <w:t xml:space="preserve"> </w:t>
            </w:r>
          </w:p>
        </w:tc>
        <w:tc>
          <w:tcPr>
            <w:tcW w:w="2101" w:type="dxa"/>
            <w:tcBorders>
              <w:top w:val="single" w:sz="4" w:space="0" w:color="000000"/>
              <w:left w:val="single" w:sz="4" w:space="0" w:color="000000"/>
              <w:bottom w:val="single" w:sz="4" w:space="0" w:color="000000"/>
              <w:right w:val="single" w:sz="4" w:space="0" w:color="000000"/>
            </w:tcBorders>
            <w:vAlign w:val="center"/>
          </w:tcPr>
          <w:p w14:paraId="13700243" w14:textId="77777777" w:rsidR="00CD748F" w:rsidRDefault="00426F7E">
            <w:pPr>
              <w:spacing w:after="0" w:line="259" w:lineRule="auto"/>
              <w:ind w:left="0" w:right="0" w:firstLine="0"/>
              <w:jc w:val="left"/>
            </w:pPr>
            <w:r>
              <w:rPr>
                <w:sz w:val="20"/>
              </w:rPr>
              <w:t>547,8</w:t>
            </w:r>
            <w:r>
              <w:t xml:space="preserve"> </w:t>
            </w:r>
          </w:p>
        </w:tc>
        <w:tc>
          <w:tcPr>
            <w:tcW w:w="2105" w:type="dxa"/>
            <w:tcBorders>
              <w:top w:val="single" w:sz="4" w:space="0" w:color="000000"/>
              <w:left w:val="single" w:sz="4" w:space="0" w:color="000000"/>
              <w:bottom w:val="single" w:sz="4" w:space="0" w:color="000000"/>
              <w:right w:val="single" w:sz="4" w:space="0" w:color="000000"/>
            </w:tcBorders>
            <w:vAlign w:val="center"/>
          </w:tcPr>
          <w:p w14:paraId="4B1386E0" w14:textId="77777777" w:rsidR="00CD748F" w:rsidRDefault="00426F7E">
            <w:pPr>
              <w:spacing w:after="0" w:line="259" w:lineRule="auto"/>
              <w:ind w:left="2" w:right="0" w:firstLine="0"/>
              <w:jc w:val="left"/>
            </w:pPr>
            <w:r>
              <w:rPr>
                <w:sz w:val="20"/>
              </w:rPr>
              <w:t>532,9</w:t>
            </w:r>
            <w:r>
              <w:t xml:space="preserve"> </w:t>
            </w:r>
          </w:p>
        </w:tc>
        <w:tc>
          <w:tcPr>
            <w:tcW w:w="2096" w:type="dxa"/>
            <w:tcBorders>
              <w:top w:val="single" w:sz="4" w:space="0" w:color="000000"/>
              <w:left w:val="single" w:sz="4" w:space="0" w:color="000000"/>
              <w:bottom w:val="single" w:sz="4" w:space="0" w:color="000000"/>
              <w:right w:val="single" w:sz="4" w:space="0" w:color="000000"/>
            </w:tcBorders>
            <w:vAlign w:val="center"/>
          </w:tcPr>
          <w:p w14:paraId="472A249A" w14:textId="77777777" w:rsidR="00CD748F" w:rsidRDefault="00426F7E">
            <w:pPr>
              <w:spacing w:after="0" w:line="259" w:lineRule="auto"/>
              <w:ind w:left="3" w:right="0" w:firstLine="0"/>
              <w:jc w:val="left"/>
            </w:pPr>
            <w:r>
              <w:rPr>
                <w:sz w:val="20"/>
              </w:rPr>
              <w:t>97,3 %</w:t>
            </w:r>
            <w:r>
              <w:t xml:space="preserve"> </w:t>
            </w:r>
          </w:p>
        </w:tc>
      </w:tr>
      <w:tr w:rsidR="00CD748F" w14:paraId="18414E1F" w14:textId="77777777">
        <w:trPr>
          <w:trHeight w:val="380"/>
        </w:trPr>
        <w:tc>
          <w:tcPr>
            <w:tcW w:w="1575" w:type="dxa"/>
            <w:tcBorders>
              <w:top w:val="single" w:sz="4" w:space="0" w:color="000000"/>
              <w:left w:val="single" w:sz="4" w:space="0" w:color="000000"/>
              <w:bottom w:val="single" w:sz="4" w:space="0" w:color="000000"/>
              <w:right w:val="single" w:sz="4" w:space="0" w:color="000000"/>
            </w:tcBorders>
            <w:shd w:val="clear" w:color="auto" w:fill="EEF3F7"/>
          </w:tcPr>
          <w:p w14:paraId="2757D371" w14:textId="77777777" w:rsidR="00CD748F" w:rsidRDefault="00426F7E">
            <w:pPr>
              <w:spacing w:after="0" w:line="259" w:lineRule="auto"/>
              <w:ind w:left="0" w:right="0" w:firstLine="0"/>
              <w:jc w:val="left"/>
            </w:pPr>
            <w:r>
              <w:rPr>
                <w:sz w:val="20"/>
              </w:rPr>
              <w:t>2024</w:t>
            </w:r>
            <w:r>
              <w:t xml:space="preserve"> </w:t>
            </w:r>
          </w:p>
        </w:tc>
        <w:tc>
          <w:tcPr>
            <w:tcW w:w="2084" w:type="dxa"/>
            <w:tcBorders>
              <w:top w:val="single" w:sz="4" w:space="0" w:color="000000"/>
              <w:left w:val="single" w:sz="4" w:space="0" w:color="000000"/>
              <w:bottom w:val="single" w:sz="4" w:space="0" w:color="000000"/>
              <w:right w:val="single" w:sz="4" w:space="0" w:color="000000"/>
            </w:tcBorders>
            <w:shd w:val="clear" w:color="auto" w:fill="EEF3F7"/>
          </w:tcPr>
          <w:p w14:paraId="6F57507E" w14:textId="77777777" w:rsidR="00CD748F" w:rsidRDefault="00426F7E">
            <w:pPr>
              <w:spacing w:after="0" w:line="259" w:lineRule="auto"/>
              <w:ind w:left="0" w:right="0" w:firstLine="0"/>
              <w:jc w:val="left"/>
            </w:pPr>
            <w:r>
              <w:rPr>
                <w:sz w:val="20"/>
              </w:rPr>
              <w:t>498,2</w:t>
            </w:r>
            <w:r>
              <w:t xml:space="preserve"> </w:t>
            </w:r>
          </w:p>
        </w:tc>
        <w:tc>
          <w:tcPr>
            <w:tcW w:w="2101" w:type="dxa"/>
            <w:tcBorders>
              <w:top w:val="single" w:sz="4" w:space="0" w:color="000000"/>
              <w:left w:val="single" w:sz="4" w:space="0" w:color="000000"/>
              <w:bottom w:val="single" w:sz="4" w:space="0" w:color="000000"/>
              <w:right w:val="single" w:sz="4" w:space="0" w:color="000000"/>
            </w:tcBorders>
            <w:shd w:val="clear" w:color="auto" w:fill="EEF3F7"/>
          </w:tcPr>
          <w:p w14:paraId="03B7E5B1" w14:textId="77777777" w:rsidR="00CD748F" w:rsidRDefault="00426F7E">
            <w:pPr>
              <w:spacing w:after="0" w:line="259" w:lineRule="auto"/>
              <w:ind w:left="0" w:right="0" w:firstLine="0"/>
              <w:jc w:val="left"/>
            </w:pPr>
            <w:r>
              <w:rPr>
                <w:sz w:val="20"/>
              </w:rPr>
              <w:t>552,6</w:t>
            </w:r>
            <w:r>
              <w:t xml:space="preserve"> </w:t>
            </w:r>
          </w:p>
        </w:tc>
        <w:tc>
          <w:tcPr>
            <w:tcW w:w="2105" w:type="dxa"/>
            <w:tcBorders>
              <w:top w:val="single" w:sz="4" w:space="0" w:color="000000"/>
              <w:left w:val="single" w:sz="4" w:space="0" w:color="000000"/>
              <w:bottom w:val="single" w:sz="4" w:space="0" w:color="000000"/>
              <w:right w:val="single" w:sz="4" w:space="0" w:color="000000"/>
            </w:tcBorders>
            <w:shd w:val="clear" w:color="auto" w:fill="EEF3F7"/>
          </w:tcPr>
          <w:p w14:paraId="40F36AC7" w14:textId="77777777" w:rsidR="00CD748F" w:rsidRDefault="00426F7E">
            <w:pPr>
              <w:spacing w:after="0" w:line="259" w:lineRule="auto"/>
              <w:ind w:left="2" w:right="0" w:firstLine="0"/>
              <w:jc w:val="left"/>
            </w:pPr>
            <w:r>
              <w:rPr>
                <w:sz w:val="20"/>
              </w:rPr>
              <w:t>516,7</w:t>
            </w:r>
            <w:r>
              <w:t xml:space="preserve"> </w:t>
            </w:r>
          </w:p>
        </w:tc>
        <w:tc>
          <w:tcPr>
            <w:tcW w:w="2096" w:type="dxa"/>
            <w:tcBorders>
              <w:top w:val="single" w:sz="4" w:space="0" w:color="000000"/>
              <w:left w:val="single" w:sz="4" w:space="0" w:color="000000"/>
              <w:bottom w:val="single" w:sz="4" w:space="0" w:color="000000"/>
              <w:right w:val="single" w:sz="4" w:space="0" w:color="000000"/>
            </w:tcBorders>
            <w:shd w:val="clear" w:color="auto" w:fill="EEF3F7"/>
          </w:tcPr>
          <w:p w14:paraId="555425F7" w14:textId="77777777" w:rsidR="00CD748F" w:rsidRDefault="00426F7E">
            <w:pPr>
              <w:spacing w:after="0" w:line="259" w:lineRule="auto"/>
              <w:ind w:left="3" w:right="0" w:firstLine="0"/>
              <w:jc w:val="left"/>
            </w:pPr>
            <w:r>
              <w:rPr>
                <w:sz w:val="20"/>
              </w:rPr>
              <w:t>93,5 %</w:t>
            </w:r>
            <w:r>
              <w:t xml:space="preserve"> </w:t>
            </w:r>
          </w:p>
        </w:tc>
      </w:tr>
    </w:tbl>
    <w:p w14:paraId="1C5EC97D" w14:textId="77777777" w:rsidR="00CD748F" w:rsidRDefault="00426F7E">
      <w:pPr>
        <w:spacing w:after="37" w:line="259" w:lineRule="auto"/>
        <w:ind w:left="0" w:right="0" w:firstLine="0"/>
        <w:jc w:val="left"/>
      </w:pPr>
      <w:r>
        <w:t xml:space="preserve"> </w:t>
      </w:r>
    </w:p>
    <w:p w14:paraId="7B648C29" w14:textId="77777777" w:rsidR="00CD748F" w:rsidRDefault="00426F7E">
      <w:pPr>
        <w:spacing w:after="8" w:line="261" w:lineRule="auto"/>
        <w:ind w:left="-5" w:right="0"/>
      </w:pPr>
      <w:r>
        <w:t xml:space="preserve">Le débat sur les investissements 2024 illustre parfaitement le risque de communication par dénominateur. La TGR rapporte environ 119,55 Md DH de dépenses émises par rapport à 118,1 Md DH de crédits initiaux, soit 101,2 %. La Cour des comptes rapporte 119,7 Md DH sur 153,5 Md </w:t>
      </w:r>
      <w:r>
        <w:rPr>
          <w:rFonts w:cs="Cambria"/>
        </w:rPr>
        <w:t xml:space="preserve">DH de crédits définitifs, soit 78 %. Les deux chiffres sont compatibles : l’un rapporte les dépenses aux crédits initiaux, l’autre aux ressources finalement ouvertes. Le bon indicateur de contrôle n’est </w:t>
      </w:r>
      <w:r>
        <w:t>pas celui qui produit le plus gra</w:t>
      </w:r>
      <w:r>
        <w:rPr>
          <w:rFonts w:cs="Cambria"/>
        </w:rPr>
        <w:t xml:space="preserve">nd pourcentage ; c’est la part des ressources effectivement disponibles qui a été exécutée. L’écart d’environ 33,8 Md DH entre crédits définitifs et dépenses </w:t>
      </w:r>
    </w:p>
    <w:p w14:paraId="5B61F33C" w14:textId="77777777" w:rsidR="00CD748F" w:rsidRDefault="00426F7E">
      <w:pPr>
        <w:spacing w:after="0"/>
        <w:ind w:left="-5" w:right="0"/>
      </w:pPr>
      <w:r>
        <w:t xml:space="preserve">2024 est matériel et doit être expliqué programme par programme. [F3] </w:t>
      </w:r>
    </w:p>
    <w:tbl>
      <w:tblPr>
        <w:tblStyle w:val="TableGrid"/>
        <w:tblW w:w="9961" w:type="dxa"/>
        <w:tblInd w:w="7" w:type="dxa"/>
        <w:tblCellMar>
          <w:top w:w="86" w:type="dxa"/>
          <w:left w:w="0" w:type="dxa"/>
          <w:bottom w:w="0" w:type="dxa"/>
          <w:right w:w="56" w:type="dxa"/>
        </w:tblCellMar>
        <w:tblLook w:val="04A0" w:firstRow="1" w:lastRow="0" w:firstColumn="1" w:lastColumn="0" w:noHBand="0" w:noVBand="1"/>
      </w:tblPr>
      <w:tblGrid>
        <w:gridCol w:w="1972"/>
        <w:gridCol w:w="699"/>
        <w:gridCol w:w="2642"/>
        <w:gridCol w:w="4648"/>
      </w:tblGrid>
      <w:tr w:rsidR="00CD748F" w14:paraId="35FCFB75" w14:textId="77777777">
        <w:trPr>
          <w:trHeight w:val="371"/>
        </w:trPr>
        <w:tc>
          <w:tcPr>
            <w:tcW w:w="1972" w:type="dxa"/>
            <w:tcBorders>
              <w:top w:val="single" w:sz="4" w:space="0" w:color="000000"/>
              <w:left w:val="single" w:sz="4" w:space="0" w:color="000000"/>
              <w:bottom w:val="single" w:sz="33" w:space="0" w:color="EEF3F7"/>
              <w:right w:val="nil"/>
            </w:tcBorders>
            <w:shd w:val="clear" w:color="auto" w:fill="163A5F"/>
          </w:tcPr>
          <w:p w14:paraId="57BD25AE" w14:textId="77777777" w:rsidR="00CD748F" w:rsidRDefault="00426F7E">
            <w:pPr>
              <w:spacing w:after="0" w:line="259" w:lineRule="auto"/>
              <w:ind w:left="99" w:right="0" w:firstLine="0"/>
              <w:jc w:val="left"/>
            </w:pPr>
            <w:r>
              <w:rPr>
                <w:b/>
                <w:color w:val="FFFFFF"/>
                <w:sz w:val="20"/>
              </w:rPr>
              <w:t>Domaine 2024</w:t>
            </w:r>
            <w:r>
              <w:rPr>
                <w:color w:val="FFFFFF"/>
              </w:rPr>
              <w:t xml:space="preserve"> </w:t>
            </w:r>
          </w:p>
        </w:tc>
        <w:tc>
          <w:tcPr>
            <w:tcW w:w="699" w:type="dxa"/>
            <w:tcBorders>
              <w:top w:val="single" w:sz="4" w:space="0" w:color="000000"/>
              <w:left w:val="nil"/>
              <w:bottom w:val="single" w:sz="33" w:space="0" w:color="EEF3F7"/>
              <w:right w:val="single" w:sz="4" w:space="0" w:color="000000"/>
            </w:tcBorders>
            <w:shd w:val="clear" w:color="auto" w:fill="163A5F"/>
          </w:tcPr>
          <w:p w14:paraId="0E5B58BC" w14:textId="77777777" w:rsidR="00CD748F" w:rsidRDefault="00CD748F">
            <w:pPr>
              <w:spacing w:after="160" w:line="259" w:lineRule="auto"/>
              <w:ind w:left="0" w:right="0" w:firstLine="0"/>
              <w:jc w:val="left"/>
            </w:pPr>
          </w:p>
        </w:tc>
        <w:tc>
          <w:tcPr>
            <w:tcW w:w="2642" w:type="dxa"/>
            <w:tcBorders>
              <w:top w:val="single" w:sz="4" w:space="0" w:color="000000"/>
              <w:left w:val="single" w:sz="4" w:space="0" w:color="000000"/>
              <w:bottom w:val="single" w:sz="33" w:space="0" w:color="EEF3F7"/>
              <w:right w:val="single" w:sz="4" w:space="0" w:color="000000"/>
            </w:tcBorders>
            <w:shd w:val="clear" w:color="auto" w:fill="163A5F"/>
          </w:tcPr>
          <w:p w14:paraId="6167D393" w14:textId="77777777" w:rsidR="00CD748F" w:rsidRDefault="00426F7E">
            <w:pPr>
              <w:spacing w:after="0" w:line="259" w:lineRule="auto"/>
              <w:ind w:left="100" w:right="0" w:firstLine="0"/>
              <w:jc w:val="left"/>
            </w:pPr>
            <w:r>
              <w:rPr>
                <w:b/>
                <w:color w:val="FFFFFF"/>
                <w:sz w:val="20"/>
              </w:rPr>
              <w:t>Taux d’exécution / constat</w:t>
            </w:r>
            <w:r>
              <w:rPr>
                <w:color w:val="FFFFFF"/>
              </w:rPr>
              <w:t xml:space="preserve"> </w:t>
            </w:r>
          </w:p>
        </w:tc>
        <w:tc>
          <w:tcPr>
            <w:tcW w:w="4648" w:type="dxa"/>
            <w:tcBorders>
              <w:top w:val="single" w:sz="4" w:space="0" w:color="000000"/>
              <w:left w:val="single" w:sz="4" w:space="0" w:color="000000"/>
              <w:bottom w:val="single" w:sz="33" w:space="0" w:color="EEF3F7"/>
              <w:right w:val="single" w:sz="4" w:space="0" w:color="000000"/>
            </w:tcBorders>
            <w:shd w:val="clear" w:color="auto" w:fill="163A5F"/>
          </w:tcPr>
          <w:p w14:paraId="672C9FD7" w14:textId="77777777" w:rsidR="00CD748F" w:rsidRDefault="00426F7E">
            <w:pPr>
              <w:spacing w:after="0" w:line="259" w:lineRule="auto"/>
              <w:ind w:left="101" w:right="0" w:firstLine="0"/>
              <w:jc w:val="left"/>
            </w:pPr>
            <w:r>
              <w:rPr>
                <w:b/>
                <w:color w:val="FFFFFF"/>
                <w:sz w:val="20"/>
              </w:rPr>
              <w:t>Observation d’audit</w:t>
            </w:r>
            <w:r>
              <w:rPr>
                <w:color w:val="FFFFFF"/>
              </w:rPr>
              <w:t xml:space="preserve"> </w:t>
            </w:r>
          </w:p>
        </w:tc>
      </w:tr>
      <w:tr w:rsidR="00CD748F" w14:paraId="109D26F5" w14:textId="77777777">
        <w:trPr>
          <w:trHeight w:val="647"/>
        </w:trPr>
        <w:tc>
          <w:tcPr>
            <w:tcW w:w="1972" w:type="dxa"/>
            <w:tcBorders>
              <w:top w:val="single" w:sz="33" w:space="0" w:color="EEF3F7"/>
              <w:left w:val="single" w:sz="4" w:space="0" w:color="000000"/>
              <w:bottom w:val="single" w:sz="4" w:space="0" w:color="000000"/>
              <w:right w:val="nil"/>
            </w:tcBorders>
            <w:shd w:val="clear" w:color="auto" w:fill="EEF3F7"/>
          </w:tcPr>
          <w:p w14:paraId="4547971D" w14:textId="77777777" w:rsidR="00CD748F" w:rsidRDefault="00426F7E">
            <w:pPr>
              <w:spacing w:after="0" w:line="259" w:lineRule="auto"/>
              <w:ind w:left="99" w:right="0" w:firstLine="0"/>
              <w:jc w:val="left"/>
            </w:pPr>
            <w:r>
              <w:rPr>
                <w:sz w:val="20"/>
              </w:rPr>
              <w:t>Investissement général</w:t>
            </w:r>
            <w:r>
              <w:t xml:space="preserve"> </w:t>
            </w:r>
          </w:p>
        </w:tc>
        <w:tc>
          <w:tcPr>
            <w:tcW w:w="699" w:type="dxa"/>
            <w:tcBorders>
              <w:top w:val="single" w:sz="33" w:space="0" w:color="EEF3F7"/>
              <w:left w:val="nil"/>
              <w:bottom w:val="single" w:sz="4" w:space="0" w:color="000000"/>
              <w:right w:val="single" w:sz="4" w:space="0" w:color="000000"/>
            </w:tcBorders>
            <w:shd w:val="clear" w:color="auto" w:fill="EEF3F7"/>
          </w:tcPr>
          <w:p w14:paraId="667D04AE" w14:textId="77777777" w:rsidR="00CD748F" w:rsidRDefault="00426F7E">
            <w:pPr>
              <w:spacing w:after="0" w:line="259" w:lineRule="auto"/>
              <w:ind w:left="0" w:right="0" w:firstLine="0"/>
            </w:pPr>
            <w:r>
              <w:rPr>
                <w:sz w:val="20"/>
              </w:rPr>
              <w:t xml:space="preserve">budget </w:t>
            </w:r>
          </w:p>
        </w:tc>
        <w:tc>
          <w:tcPr>
            <w:tcW w:w="2642"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65297C8C" w14:textId="77777777" w:rsidR="00CD748F" w:rsidRDefault="00426F7E">
            <w:pPr>
              <w:spacing w:after="0" w:line="259" w:lineRule="auto"/>
              <w:ind w:left="100" w:right="0" w:firstLine="0"/>
              <w:jc w:val="left"/>
            </w:pPr>
            <w:r>
              <w:rPr>
                <w:sz w:val="20"/>
              </w:rPr>
              <w:t>78 %</w:t>
            </w:r>
            <w:r>
              <w:t xml:space="preserve"> </w:t>
            </w:r>
          </w:p>
        </w:tc>
        <w:tc>
          <w:tcPr>
            <w:tcW w:w="4648"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039BF1F0" w14:textId="77777777" w:rsidR="00CD748F" w:rsidRDefault="00426F7E">
            <w:pPr>
              <w:spacing w:after="0" w:line="259" w:lineRule="auto"/>
              <w:ind w:left="101" w:right="0" w:firstLine="0"/>
              <w:jc w:val="left"/>
            </w:pPr>
            <w:r>
              <w:rPr>
                <w:sz w:val="20"/>
              </w:rPr>
              <w:t>Sous-exécution par rapport aux crédits définitifs</w:t>
            </w:r>
            <w:r>
              <w:t xml:space="preserve"> </w:t>
            </w:r>
          </w:p>
        </w:tc>
      </w:tr>
      <w:tr w:rsidR="00CD748F" w14:paraId="22410D41" w14:textId="77777777">
        <w:trPr>
          <w:trHeight w:val="743"/>
        </w:trPr>
        <w:tc>
          <w:tcPr>
            <w:tcW w:w="1972" w:type="dxa"/>
            <w:tcBorders>
              <w:top w:val="single" w:sz="4" w:space="0" w:color="000000"/>
              <w:left w:val="single" w:sz="4" w:space="0" w:color="000000"/>
              <w:bottom w:val="single" w:sz="33" w:space="0" w:color="EEF3F7"/>
              <w:right w:val="nil"/>
            </w:tcBorders>
            <w:vAlign w:val="center"/>
          </w:tcPr>
          <w:p w14:paraId="77EC4344" w14:textId="77777777" w:rsidR="00CD748F" w:rsidRDefault="00426F7E">
            <w:pPr>
              <w:spacing w:after="0" w:line="259" w:lineRule="auto"/>
              <w:ind w:left="99" w:right="0" w:firstLine="0"/>
              <w:jc w:val="left"/>
            </w:pPr>
            <w:r>
              <w:rPr>
                <w:sz w:val="20"/>
              </w:rPr>
              <w:t>Santé</w:t>
            </w:r>
            <w:r>
              <w:t xml:space="preserve"> </w:t>
            </w:r>
          </w:p>
        </w:tc>
        <w:tc>
          <w:tcPr>
            <w:tcW w:w="699" w:type="dxa"/>
            <w:tcBorders>
              <w:top w:val="single" w:sz="4" w:space="0" w:color="000000"/>
              <w:left w:val="nil"/>
              <w:bottom w:val="single" w:sz="33" w:space="0" w:color="EEF3F7"/>
              <w:right w:val="single" w:sz="4" w:space="0" w:color="000000"/>
            </w:tcBorders>
          </w:tcPr>
          <w:p w14:paraId="3DDD85BC" w14:textId="77777777" w:rsidR="00CD748F" w:rsidRDefault="00CD748F">
            <w:pPr>
              <w:spacing w:after="160" w:line="259" w:lineRule="auto"/>
              <w:ind w:left="0" w:right="0" w:firstLine="0"/>
              <w:jc w:val="left"/>
            </w:pPr>
          </w:p>
        </w:tc>
        <w:tc>
          <w:tcPr>
            <w:tcW w:w="2642" w:type="dxa"/>
            <w:tcBorders>
              <w:top w:val="single" w:sz="4" w:space="0" w:color="000000"/>
              <w:left w:val="single" w:sz="4" w:space="0" w:color="000000"/>
              <w:bottom w:val="single" w:sz="33" w:space="0" w:color="EEF3F7"/>
              <w:right w:val="single" w:sz="4" w:space="0" w:color="000000"/>
            </w:tcBorders>
            <w:vAlign w:val="center"/>
          </w:tcPr>
          <w:p w14:paraId="766044B3" w14:textId="77777777" w:rsidR="00CD748F" w:rsidRDefault="00426F7E">
            <w:pPr>
              <w:spacing w:after="0" w:line="259" w:lineRule="auto"/>
              <w:ind w:left="100" w:right="0" w:firstLine="0"/>
              <w:jc w:val="left"/>
            </w:pPr>
            <w:r>
              <w:rPr>
                <w:sz w:val="20"/>
              </w:rPr>
              <w:t>58,5 %</w:t>
            </w:r>
            <w:r>
              <w:t xml:space="preserve"> </w:t>
            </w:r>
          </w:p>
        </w:tc>
        <w:tc>
          <w:tcPr>
            <w:tcW w:w="4648" w:type="dxa"/>
            <w:tcBorders>
              <w:top w:val="single" w:sz="4" w:space="0" w:color="000000"/>
              <w:left w:val="single" w:sz="4" w:space="0" w:color="000000"/>
              <w:bottom w:val="single" w:sz="33" w:space="0" w:color="EEF3F7"/>
              <w:right w:val="single" w:sz="4" w:space="0" w:color="000000"/>
            </w:tcBorders>
            <w:vAlign w:val="center"/>
          </w:tcPr>
          <w:p w14:paraId="66388B33" w14:textId="77777777" w:rsidR="00CD748F" w:rsidRDefault="00426F7E">
            <w:pPr>
              <w:spacing w:after="0" w:line="259" w:lineRule="auto"/>
              <w:ind w:left="101" w:right="0" w:firstLine="0"/>
              <w:jc w:val="left"/>
            </w:pPr>
            <w:r>
              <w:rPr>
                <w:sz w:val="20"/>
              </w:rPr>
              <w:t>Risque de décalage entre annonces, marchés et mise en service</w:t>
            </w:r>
            <w:r>
              <w:t xml:space="preserve"> </w:t>
            </w:r>
          </w:p>
        </w:tc>
      </w:tr>
      <w:tr w:rsidR="00CD748F" w14:paraId="562AF531" w14:textId="77777777">
        <w:trPr>
          <w:trHeight w:val="380"/>
        </w:trPr>
        <w:tc>
          <w:tcPr>
            <w:tcW w:w="1972" w:type="dxa"/>
            <w:tcBorders>
              <w:top w:val="single" w:sz="33" w:space="0" w:color="EEF3F7"/>
              <w:left w:val="single" w:sz="4" w:space="0" w:color="000000"/>
              <w:bottom w:val="single" w:sz="4" w:space="0" w:color="000000"/>
              <w:right w:val="nil"/>
            </w:tcBorders>
            <w:shd w:val="clear" w:color="auto" w:fill="EEF3F7"/>
          </w:tcPr>
          <w:p w14:paraId="34A63567" w14:textId="77777777" w:rsidR="00CD748F" w:rsidRDefault="00426F7E">
            <w:pPr>
              <w:spacing w:after="0" w:line="259" w:lineRule="auto"/>
              <w:ind w:left="99" w:right="0" w:firstLine="0"/>
              <w:jc w:val="left"/>
            </w:pPr>
            <w:r>
              <w:rPr>
                <w:sz w:val="20"/>
              </w:rPr>
              <w:t>Éducation</w:t>
            </w:r>
            <w:r>
              <w:t xml:space="preserve"> </w:t>
            </w:r>
          </w:p>
        </w:tc>
        <w:tc>
          <w:tcPr>
            <w:tcW w:w="699" w:type="dxa"/>
            <w:tcBorders>
              <w:top w:val="single" w:sz="33" w:space="0" w:color="EEF3F7"/>
              <w:left w:val="nil"/>
              <w:bottom w:val="single" w:sz="4" w:space="0" w:color="000000"/>
              <w:right w:val="single" w:sz="4" w:space="0" w:color="000000"/>
            </w:tcBorders>
            <w:shd w:val="clear" w:color="auto" w:fill="EEF3F7"/>
          </w:tcPr>
          <w:p w14:paraId="675B927F" w14:textId="77777777" w:rsidR="00CD748F" w:rsidRDefault="00CD748F">
            <w:pPr>
              <w:spacing w:after="160" w:line="259" w:lineRule="auto"/>
              <w:ind w:left="0" w:right="0" w:firstLine="0"/>
              <w:jc w:val="left"/>
            </w:pPr>
          </w:p>
        </w:tc>
        <w:tc>
          <w:tcPr>
            <w:tcW w:w="2642" w:type="dxa"/>
            <w:tcBorders>
              <w:top w:val="single" w:sz="33" w:space="0" w:color="EEF3F7"/>
              <w:left w:val="single" w:sz="4" w:space="0" w:color="000000"/>
              <w:bottom w:val="single" w:sz="4" w:space="0" w:color="000000"/>
              <w:right w:val="single" w:sz="4" w:space="0" w:color="000000"/>
            </w:tcBorders>
            <w:shd w:val="clear" w:color="auto" w:fill="EEF3F7"/>
          </w:tcPr>
          <w:p w14:paraId="3F10096C" w14:textId="77777777" w:rsidR="00CD748F" w:rsidRDefault="00426F7E">
            <w:pPr>
              <w:spacing w:after="0" w:line="259" w:lineRule="auto"/>
              <w:ind w:left="100" w:right="0" w:firstLine="0"/>
              <w:jc w:val="left"/>
            </w:pPr>
            <w:r>
              <w:rPr>
                <w:sz w:val="20"/>
              </w:rPr>
              <w:t>65,2 %</w:t>
            </w:r>
            <w:r>
              <w:t xml:space="preserve"> </w:t>
            </w:r>
          </w:p>
        </w:tc>
        <w:tc>
          <w:tcPr>
            <w:tcW w:w="4648" w:type="dxa"/>
            <w:tcBorders>
              <w:top w:val="single" w:sz="33" w:space="0" w:color="EEF3F7"/>
              <w:left w:val="single" w:sz="4" w:space="0" w:color="000000"/>
              <w:bottom w:val="single" w:sz="4" w:space="0" w:color="000000"/>
              <w:right w:val="single" w:sz="4" w:space="0" w:color="000000"/>
            </w:tcBorders>
            <w:shd w:val="clear" w:color="auto" w:fill="EEF3F7"/>
          </w:tcPr>
          <w:p w14:paraId="654654AA" w14:textId="77777777" w:rsidR="00CD748F" w:rsidRDefault="00426F7E">
            <w:pPr>
              <w:spacing w:after="0" w:line="259" w:lineRule="auto"/>
              <w:ind w:left="101" w:right="0" w:firstLine="0"/>
              <w:jc w:val="left"/>
            </w:pPr>
            <w:r>
              <w:rPr>
                <w:sz w:val="20"/>
              </w:rPr>
              <w:t>Conversion budgétaire encore partielle</w:t>
            </w:r>
            <w:r>
              <w:t xml:space="preserve"> </w:t>
            </w:r>
          </w:p>
        </w:tc>
      </w:tr>
      <w:tr w:rsidR="00CD748F" w14:paraId="322125B2" w14:textId="77777777">
        <w:trPr>
          <w:trHeight w:val="478"/>
        </w:trPr>
        <w:tc>
          <w:tcPr>
            <w:tcW w:w="1972" w:type="dxa"/>
            <w:tcBorders>
              <w:top w:val="single" w:sz="4" w:space="0" w:color="000000"/>
              <w:left w:val="single" w:sz="4" w:space="0" w:color="000000"/>
              <w:bottom w:val="single" w:sz="4" w:space="0" w:color="000000"/>
              <w:right w:val="nil"/>
            </w:tcBorders>
            <w:vAlign w:val="center"/>
          </w:tcPr>
          <w:p w14:paraId="490D472C" w14:textId="77777777" w:rsidR="00CD748F" w:rsidRDefault="00426F7E">
            <w:pPr>
              <w:spacing w:after="0" w:line="259" w:lineRule="auto"/>
              <w:ind w:left="99" w:right="0" w:firstLine="0"/>
              <w:jc w:val="left"/>
            </w:pPr>
            <w:r>
              <w:rPr>
                <w:sz w:val="20"/>
              </w:rPr>
              <w:t>Programmes</w:t>
            </w:r>
            <w:r>
              <w:t xml:space="preserve"> </w:t>
            </w:r>
          </w:p>
        </w:tc>
        <w:tc>
          <w:tcPr>
            <w:tcW w:w="699" w:type="dxa"/>
            <w:tcBorders>
              <w:top w:val="single" w:sz="4" w:space="0" w:color="000000"/>
              <w:left w:val="nil"/>
              <w:bottom w:val="single" w:sz="4" w:space="0" w:color="000000"/>
              <w:right w:val="single" w:sz="4" w:space="0" w:color="000000"/>
            </w:tcBorders>
          </w:tcPr>
          <w:p w14:paraId="1D702BD1" w14:textId="77777777" w:rsidR="00CD748F" w:rsidRDefault="00CD748F">
            <w:pPr>
              <w:spacing w:after="160" w:line="259" w:lineRule="auto"/>
              <w:ind w:left="0" w:right="0" w:firstLine="0"/>
              <w:jc w:val="left"/>
            </w:pPr>
          </w:p>
        </w:tc>
        <w:tc>
          <w:tcPr>
            <w:tcW w:w="2642" w:type="dxa"/>
            <w:tcBorders>
              <w:top w:val="single" w:sz="4" w:space="0" w:color="000000"/>
              <w:left w:val="single" w:sz="4" w:space="0" w:color="000000"/>
              <w:bottom w:val="single" w:sz="4" w:space="0" w:color="000000"/>
              <w:right w:val="single" w:sz="4" w:space="0" w:color="000000"/>
            </w:tcBorders>
            <w:vAlign w:val="center"/>
          </w:tcPr>
          <w:p w14:paraId="734DB9AE" w14:textId="77777777" w:rsidR="00CD748F" w:rsidRDefault="00426F7E">
            <w:pPr>
              <w:spacing w:after="0" w:line="259" w:lineRule="auto"/>
              <w:ind w:left="100" w:right="0" w:firstLine="0"/>
              <w:jc w:val="left"/>
            </w:pPr>
            <w:r>
              <w:rPr>
                <w:sz w:val="20"/>
              </w:rPr>
              <w:t>41 / 128 à ≤50 %</w:t>
            </w:r>
            <w:r>
              <w:t xml:space="preserve"> </w:t>
            </w:r>
          </w:p>
        </w:tc>
        <w:tc>
          <w:tcPr>
            <w:tcW w:w="4648" w:type="dxa"/>
            <w:tcBorders>
              <w:top w:val="single" w:sz="4" w:space="0" w:color="000000"/>
              <w:left w:val="single" w:sz="4" w:space="0" w:color="000000"/>
              <w:bottom w:val="single" w:sz="4" w:space="0" w:color="000000"/>
              <w:right w:val="single" w:sz="4" w:space="0" w:color="000000"/>
            </w:tcBorders>
            <w:vAlign w:val="center"/>
          </w:tcPr>
          <w:p w14:paraId="07D9305D" w14:textId="77777777" w:rsidR="00CD748F" w:rsidRDefault="00426F7E">
            <w:pPr>
              <w:spacing w:after="0" w:line="259" w:lineRule="auto"/>
              <w:ind w:left="101" w:right="0" w:firstLine="0"/>
              <w:jc w:val="left"/>
            </w:pPr>
            <w:r>
              <w:rPr>
                <w:sz w:val="20"/>
              </w:rPr>
              <w:t>Concentration des sous-exécutions</w:t>
            </w:r>
            <w:r>
              <w:t xml:space="preserve"> </w:t>
            </w:r>
          </w:p>
        </w:tc>
      </w:tr>
    </w:tbl>
    <w:p w14:paraId="3CAFE333" w14:textId="77777777" w:rsidR="00CD748F" w:rsidRDefault="00426F7E">
      <w:pPr>
        <w:spacing w:after="38" w:line="259" w:lineRule="auto"/>
        <w:ind w:left="0" w:right="0" w:firstLine="0"/>
        <w:jc w:val="left"/>
      </w:pPr>
      <w:r>
        <w:t xml:space="preserve"> </w:t>
      </w:r>
    </w:p>
    <w:p w14:paraId="42ABE495" w14:textId="77777777" w:rsidR="00CD748F" w:rsidRDefault="00426F7E">
      <w:pPr>
        <w:spacing w:after="0"/>
        <w:ind w:left="-5" w:right="0"/>
      </w:pPr>
      <w:r>
        <w:t>La démarche de performance elle-</w:t>
      </w:r>
      <w:r>
        <w:t xml:space="preserve">même est insuffisamment robuste. Si 42 % des indicateurs mesurent encore les moyens ou activités, un gouvernement peut être administrativement </w:t>
      </w:r>
      <w:r>
        <w:rPr>
          <w:rFonts w:cs="Cambria"/>
        </w:rPr>
        <w:t>performant sans être nécessairement efficace. La faiblesse des systèmes d’informa</w:t>
      </w:r>
      <w:r>
        <w:t xml:space="preserve">tion signalée par la Cour limite également la possibilité de produire des historiques fiables, des contrôles de qualité </w:t>
      </w:r>
      <w:r>
        <w:rPr>
          <w:rFonts w:cs="Cambria"/>
        </w:rPr>
        <w:t xml:space="preserve">et des rapprochements. Le problème n’est donc pas uniquement budgétaire : il est architectural. </w:t>
      </w:r>
      <w:r>
        <w:t xml:space="preserve">Un État qui ne sait pas relier crédits, outputs et outcomes ne peut pas </w:t>
      </w:r>
      <w:r>
        <w:t xml:space="preserve">arbitrer correctement entre deux politiques concurrentes. [F3][S2] </w:t>
      </w:r>
    </w:p>
    <w:p w14:paraId="576D05CA" w14:textId="77777777" w:rsidR="00CD748F" w:rsidRDefault="00426F7E">
      <w:pPr>
        <w:pStyle w:val="Titre2"/>
        <w:ind w:left="-5"/>
      </w:pPr>
      <w:r>
        <w:t xml:space="preserve">VI. EMPLOI, CHÔMAGE ET STRUCTURE DU MARCHÉ DU TRAVAIL </w:t>
      </w:r>
    </w:p>
    <w:p w14:paraId="0C83F22C" w14:textId="77777777" w:rsidR="00CD748F" w:rsidRDefault="00426F7E">
      <w:pPr>
        <w:ind w:left="-5" w:right="0"/>
      </w:pPr>
      <w:r>
        <w:rPr>
          <w:rFonts w:cs="Cambria"/>
        </w:rPr>
        <w:t xml:space="preserve">L’écart sur l’emploi doit être lu sur deux niveaux. Le premier est le compteur national. Le second </w:t>
      </w:r>
      <w:r>
        <w:t xml:space="preserve">est la structure des emplois créés. En 2025, les services ont créé 123 000 postes, le BTP 64 000 et </w:t>
      </w:r>
      <w:r>
        <w:rPr>
          <w:rFonts w:cs="Cambria"/>
        </w:rPr>
        <w:t>l’industrie 46 000, tandis que l’agriculture, forêt et pê</w:t>
      </w:r>
      <w:r>
        <w:t>che perdaient encore 41 000 emplois. Le chômage national reste à 13 %, celui des 15</w:t>
      </w:r>
      <w:r>
        <w:rPr>
          <w:rFonts w:cs="Cambria"/>
        </w:rPr>
        <w:t>–</w:t>
      </w:r>
      <w:r>
        <w:t xml:space="preserve">24 ans à 37,2 %, le chômage féminin à 20,5 % et le sous-emploi à 10,9 %. Le redressement de 2025 est donc réel, mais sa qualité distributive est imparfaite. [S1] </w:t>
      </w:r>
    </w:p>
    <w:p w14:paraId="3CEE4904" w14:textId="77777777" w:rsidR="00CD748F" w:rsidRDefault="00426F7E">
      <w:pPr>
        <w:spacing w:after="144" w:line="261" w:lineRule="auto"/>
        <w:ind w:left="-5" w:right="0"/>
      </w:pPr>
      <w:r>
        <w:rPr>
          <w:rFonts w:cs="Cambria"/>
        </w:rPr>
        <w:t xml:space="preserve">L’erreur à éviter est de créditer les programmes de l’ensemble du redressement national. Awrach, </w:t>
      </w:r>
      <w:r>
        <w:t xml:space="preserve">Forsa et les dispositifs similaires peuvent produire des bénéficiaires, des contrats ou des </w:t>
      </w:r>
      <w:r>
        <w:rPr>
          <w:rFonts w:cs="Cambria"/>
        </w:rPr>
        <w:t xml:space="preserve">entrepreneurs aidés sans qu’il soit possible de les additionner au </w:t>
      </w:r>
      <w:r>
        <w:t xml:space="preserve">solde HCP. Pour faire preuve </w:t>
      </w:r>
      <w:r>
        <w:rPr>
          <w:rFonts w:cs="Cambria"/>
        </w:rPr>
        <w:t xml:space="preserve">d’efficience, il faut suivre la personne unique, la formalité CNSS, la durée du contrat, le salaire, l’activité à 6/12/24/36 mois et, pour l’entrepreneuriat, la survie de l’entreprise. Tant que ces </w:t>
      </w:r>
      <w:r>
        <w:t xml:space="preserve">rapprochements ne sont pas publiés, le coût par emploi durable demeure inconnu. [F1][F3] </w:t>
      </w:r>
    </w:p>
    <w:p w14:paraId="1C73FFCA" w14:textId="77777777" w:rsidR="00CD748F" w:rsidRDefault="00426F7E">
      <w:pPr>
        <w:spacing w:after="348"/>
        <w:ind w:left="-5" w:right="0"/>
      </w:pPr>
      <w:r>
        <w:t xml:space="preserve">La rupture ENE/EMO de 2026 doit être considérée comme un enjeu de transparence statistique. </w:t>
      </w:r>
      <w:r>
        <w:rPr>
          <w:rFonts w:cs="Cambria"/>
        </w:rPr>
        <w:t xml:space="preserve">L’EMO offre une nouvelle architecture de mesure et des séries rétropolées provisoires. Elle ne doit </w:t>
      </w:r>
      <w:r>
        <w:t xml:space="preserve">pas servir à effacer rétrospectivement le constat ENE 2025 ni à ajouter un chiffre de stock 2026 au cumul de créations nettes. Le bon traitement consiste à publier une table de pont statistique définitive et une série de référence unique pour le bilan de mandat. [F2][S1] </w:t>
      </w:r>
    </w:p>
    <w:p w14:paraId="292899FD" w14:textId="77777777" w:rsidR="00CD748F" w:rsidRDefault="00426F7E">
      <w:pPr>
        <w:pStyle w:val="Titre2"/>
        <w:ind w:left="-5"/>
      </w:pPr>
      <w:r>
        <w:t xml:space="preserve">VII. AGRICULTURE, SÉCHERESSE ET TRANSITION RURALE </w:t>
      </w:r>
    </w:p>
    <w:p w14:paraId="15A83BD4" w14:textId="77777777" w:rsidR="00CD748F" w:rsidRDefault="00426F7E">
      <w:pPr>
        <w:spacing w:after="144" w:line="261" w:lineRule="auto"/>
        <w:ind w:left="-5" w:right="0"/>
      </w:pPr>
      <w:r>
        <w:rPr>
          <w:rFonts w:cs="Cambria"/>
        </w:rPr>
        <w:t>Le mandat a été soumis à plusieurs années de stress hydrique. L’agriculture a subi des pertes de productivité, des réductions de cheptel, une baisse de l’emploi et une tension sur les revenus. Cependant, une analyse d’audit ne peut pas s’arrêter à l’explic</w:t>
      </w:r>
      <w:r>
        <w:t xml:space="preserve">ation climatique. La question de </w:t>
      </w:r>
      <w:r>
        <w:rPr>
          <w:rFonts w:cs="Cambria"/>
        </w:rPr>
        <w:t xml:space="preserve">responsabilité publique porte sur la vitesse d’adaptation du modèle productif : quels investissements ont été faits dans l’irrigation efficiente, quelles cultures ont été réorientées, quels </w:t>
      </w:r>
      <w:r>
        <w:t xml:space="preserve">revenus ont été diversifiés, quelles assurances ont fonctionné, quelles alternatives </w:t>
      </w:r>
      <w:r>
        <w:rPr>
          <w:rFonts w:cs="Cambria"/>
        </w:rPr>
        <w:t>professionnelles ont été offertes aux travailleurs sortant de l’agriculture ?</w:t>
      </w:r>
      <w:r>
        <w:t xml:space="preserve"> </w:t>
      </w:r>
    </w:p>
    <w:p w14:paraId="720C0157" w14:textId="77777777" w:rsidR="00CD748F" w:rsidRDefault="00426F7E">
      <w:pPr>
        <w:spacing w:after="144" w:line="261" w:lineRule="auto"/>
        <w:ind w:left="-5" w:right="0"/>
      </w:pPr>
      <w:r>
        <w:rPr>
          <w:rFonts w:cs="Cambria"/>
        </w:rPr>
        <w:t xml:space="preserve">Le fait que la production agricole puisse rebondir alors que l’emploi agricole continue de diminuer </w:t>
      </w:r>
      <w:r>
        <w:t xml:space="preserve">est central. Il peut signaler une hausse de productivité, une mécanisation, une concentration des </w:t>
      </w:r>
      <w:r>
        <w:rPr>
          <w:rFonts w:cs="Cambria"/>
        </w:rPr>
        <w:t xml:space="preserve">exploitations ou simplement un déplacement vers d’autres secteurs. Dans tous les cas, l’État doit mesurer la transition et non seulement soutenir le stock de production. La réussite agricole d’une </w:t>
      </w:r>
      <w:r>
        <w:t>politique climatique ne devrait donc pas être définie par la seule récolte, mais par un triptyque : valeur ajoutée pa</w:t>
      </w:r>
      <w:r>
        <w:rPr>
          <w:rFonts w:cs="Cambria"/>
        </w:rPr>
        <w:t>r mètre cube d’eau, revenu rural réel et capacité de reconversion des travailleurs.</w:t>
      </w:r>
      <w:r>
        <w:t xml:space="preserve"> </w:t>
      </w:r>
    </w:p>
    <w:p w14:paraId="519C51D4" w14:textId="77777777" w:rsidR="00CD748F" w:rsidRDefault="00426F7E">
      <w:pPr>
        <w:spacing w:after="1"/>
        <w:ind w:left="-5" w:right="0"/>
      </w:pPr>
      <w:r>
        <w:t>La question du cheptel doit être traitée avec le même degré de détail. Le programme 2025</w:t>
      </w:r>
      <w:r>
        <w:rPr>
          <w:rFonts w:cs="Cambria"/>
        </w:rPr>
        <w:t>–</w:t>
      </w:r>
      <w:r>
        <w:t xml:space="preserve">2026 représente plusieurs milliards de dirhams. À un moment du déploiement, le gouvernement a </w:t>
      </w:r>
      <w:r>
        <w:rPr>
          <w:rFonts w:cs="Cambria"/>
        </w:rPr>
        <w:t>indiqué que 1,102 million de dossiers d’éleveurs avaient été traités et q</w:t>
      </w:r>
      <w:r>
        <w:t xml:space="preserve">ue 4,465 Md DH avaient été </w:t>
      </w:r>
      <w:r>
        <w:rPr>
          <w:rFonts w:cs="Cambria"/>
        </w:rPr>
        <w:t xml:space="preserve">versés à près de 977 000 bénéficiaires. Le programme prévoit notamment l’identification des </w:t>
      </w:r>
      <w:r>
        <w:t xml:space="preserve">animaux, des aides à la reconstitution et une prime au maintien des femelles reproductrices. Ces </w:t>
      </w:r>
      <w:r>
        <w:rPr>
          <w:rFonts w:cs="Cambria"/>
        </w:rPr>
        <w:t>chiffres prouvent l’ampleur du transfert ; ils ne prouvent pas enco</w:t>
      </w:r>
      <w:r>
        <w:t>re son impact sur le cheptel reconstitué, la mortalité évitée</w:t>
      </w:r>
      <w:r>
        <w:t xml:space="preserve">, la stabilité du prix des viandes ou le revenu des éleveurs. </w:t>
      </w:r>
    </w:p>
    <w:p w14:paraId="74FC0928" w14:textId="77777777" w:rsidR="00CD748F" w:rsidRDefault="00426F7E">
      <w:pPr>
        <w:spacing w:after="349"/>
        <w:ind w:left="-5" w:right="0"/>
      </w:pPr>
      <w:r>
        <w:t xml:space="preserve">[S22][S24] </w:t>
      </w:r>
    </w:p>
    <w:p w14:paraId="03F826E4" w14:textId="77777777" w:rsidR="00CD748F" w:rsidRDefault="00426F7E">
      <w:pPr>
        <w:pStyle w:val="Titre2"/>
        <w:ind w:left="-5"/>
      </w:pPr>
      <w:r>
        <w:t xml:space="preserve">VIII. SUBVENTIONS AU CHEPTEL, IMPORTATIONS OVINES ET « FRACHKHIA » </w:t>
      </w:r>
    </w:p>
    <w:p w14:paraId="61F8A6C2" w14:textId="77777777" w:rsidR="00CD748F" w:rsidRDefault="00426F7E">
      <w:pPr>
        <w:spacing w:after="144" w:line="261" w:lineRule="auto"/>
        <w:ind w:left="-5" w:right="0"/>
      </w:pPr>
      <w:r>
        <w:rPr>
          <w:rFonts w:cs="Cambria"/>
        </w:rPr>
        <w:t>Il faut séparer quatre dispositifs souvent confondus dans le débat public. D’une part, l’exonération de droits et TVA sur certaines importations. D’autre part, la subvention exceptionnelle de 500 DH par ovin importé destiné à l’Aïd en 2023 et 2024. Ensuite</w:t>
      </w:r>
      <w:r>
        <w:t xml:space="preserve">, les programmes de soutien au cheptel et aux éleveurs engagés à partir de 2025. Enfin, les primes de conservation des femelles </w:t>
      </w:r>
      <w:r>
        <w:rPr>
          <w:rFonts w:cs="Cambria"/>
        </w:rPr>
        <w:t>reproductrices. L’audit est impossible si ces lignes sont agrégées en un seul « coût du bétail ».</w:t>
      </w:r>
      <w:r>
        <w:t xml:space="preserve"> </w:t>
      </w:r>
    </w:p>
    <w:p w14:paraId="1B224795" w14:textId="77777777" w:rsidR="00CD748F" w:rsidRDefault="00426F7E">
      <w:pPr>
        <w:ind w:left="-5" w:right="0"/>
      </w:pPr>
      <w:r>
        <w:t>Pour les années 2023</w:t>
      </w:r>
      <w:r>
        <w:rPr>
          <w:rFonts w:cs="Cambria"/>
        </w:rPr>
        <w:t xml:space="preserve">–2024, le ministère de l’Agriculture indique un coût de 437 millions de DH pour la subvention exceptionnelle à l’importation ovine, réparti entre 193 MDH en 2023 et 244 </w:t>
      </w:r>
      <w:r>
        <w:t xml:space="preserve">MDH en 2024. Environ 875 000 têtes ont été importées, par 156 importateurs. Le coût unitaire annoncé permet un premier contrôle de cohérence, mais ne suffit pas à établir si la subvention a </w:t>
      </w:r>
      <w:r>
        <w:rPr>
          <w:rFonts w:cs="Cambria"/>
        </w:rPr>
        <w:t xml:space="preserve">été intégralement répercutée au consommateur. Le test économique doit comparer le prix d’achat </w:t>
      </w:r>
      <w:r>
        <w:t>importateur, la subvention, le prix de vente, les coûts lo</w:t>
      </w:r>
      <w:r>
        <w:t xml:space="preserve">gistiques et la marge de chaque maillon. [S22] </w:t>
      </w:r>
    </w:p>
    <w:p w14:paraId="0D20D036" w14:textId="77777777" w:rsidR="00CD748F" w:rsidRDefault="00426F7E">
      <w:pPr>
        <w:spacing w:after="358" w:line="261" w:lineRule="auto"/>
        <w:ind w:left="-5" w:right="0"/>
      </w:pPr>
      <w:r>
        <w:rPr>
          <w:rFonts w:cs="Cambria"/>
        </w:rPr>
        <w:t>L’expression populaire « frachkhia » ne constitue pas une catégorie juridique ou comptable. Le vrai risque à auditer est celui de la captation de l’aide par un intermédiaire lorsque l’instrument vise simultanément l’offre, le producteur et le consommateur.</w:t>
      </w:r>
      <w:r>
        <w:t xml:space="preserve"> Un dispositif peut être parfaitement légal et néanmoins inefficace si la subvention est absorbée par des marges. Inversement, une marge </w:t>
      </w:r>
      <w:r>
        <w:rPr>
          <w:rFonts w:cs="Cambria"/>
        </w:rPr>
        <w:t xml:space="preserve">commerciale n’est pas une fraude si elle rémunère réellement des coûts. La commission d’enquête </w:t>
      </w:r>
      <w:r>
        <w:t>devrait donc demander u</w:t>
      </w:r>
      <w:r>
        <w:rPr>
          <w:rFonts w:cs="Cambria"/>
        </w:rPr>
        <w:t xml:space="preserve">n calcul d’incidence : pour chaque dirham public dépensé, combien a </w:t>
      </w:r>
      <w:r>
        <w:t xml:space="preserve">réduit le coût du producteur, combien a réduit le prix final et combien a augmenté la marge du maillon bénéficiaire ? </w:t>
      </w:r>
    </w:p>
    <w:p w14:paraId="3EE05A1F" w14:textId="77777777" w:rsidR="00CD748F" w:rsidRDefault="00426F7E">
      <w:pPr>
        <w:pStyle w:val="Titre2"/>
        <w:spacing w:after="0" w:line="259" w:lineRule="auto"/>
        <w:ind w:left="-5"/>
      </w:pPr>
      <w:r>
        <w:t xml:space="preserve">IX. DOSSIER BERRECHID / ABED BADEL   NIVEAU DE </w:t>
      </w:r>
      <w:r>
        <w:t>PREUVE ET PISTES D’ENQUÊTE</w:t>
      </w:r>
      <w:r>
        <w:t xml:space="preserve"> </w:t>
      </w:r>
    </w:p>
    <w:p w14:paraId="3FEE1B12" w14:textId="77777777" w:rsidR="00CD748F" w:rsidRDefault="00426F7E">
      <w:pPr>
        <w:ind w:left="-5" w:right="0"/>
      </w:pPr>
      <w:r>
        <w:t xml:space="preserve">Ce dossier doit être traité avec une prudence supérieure aux polémiques politiques. Des </w:t>
      </w:r>
      <w:r>
        <w:rPr>
          <w:rFonts w:cs="Cambria"/>
        </w:rPr>
        <w:t xml:space="preserve">publications médiatiques ont rapporté l’allégation qu’Abed Badel aurait bénéficié d’un montant supérieur à 30 millions de DH dans le dispositif d’importation ovine. La </w:t>
      </w:r>
      <w:r>
        <w:t xml:space="preserve">conversion « 3 milliards » dans le langage courant marocain peut signifier 3 milliards de centimes, soit 30 millions de DH ; </w:t>
      </w:r>
      <w:r>
        <w:rPr>
          <w:rFonts w:cs="Cambria"/>
        </w:rPr>
        <w:t xml:space="preserve">elle ne doit en aucun cas être interprétée comme 3 milliards de DH. À la date d’arrêt de ce rapport, </w:t>
      </w:r>
      <w:r>
        <w:t>aucune pièce nominative du Tré</w:t>
      </w:r>
      <w:r>
        <w:rPr>
          <w:rFonts w:cs="Cambria"/>
        </w:rPr>
        <w:t xml:space="preserve">sor publiée par une autorité compétente n’a été identifiée dans les </w:t>
      </w:r>
      <w:r>
        <w:t>sources retenues per</w:t>
      </w:r>
      <w:r>
        <w:t xml:space="preserve">mettant de certifier le montant, la société bénéficiaire et la chaîne de validation. Le rapport classe donc ce dossier comme **allégation à vérification prioritaire**, non comme fraude établie. </w:t>
      </w:r>
    </w:p>
    <w:p w14:paraId="2C916A24" w14:textId="77777777" w:rsidR="00CD748F" w:rsidRDefault="00426F7E">
      <w:pPr>
        <w:spacing w:after="358" w:line="261" w:lineRule="auto"/>
        <w:ind w:left="-5" w:right="0"/>
      </w:pPr>
      <w:r>
        <w:rPr>
          <w:rFonts w:cs="Cambria"/>
        </w:rPr>
        <w:t xml:space="preserve">Le fait qu’un bénéficiaire soit une personne politiquement exposée ne suffit pas à démontrer une irrégularité. En revanche, cela augmente l’exigence de transparence. L’audit doit vérifier : existence </w:t>
      </w:r>
      <w:r>
        <w:t xml:space="preserve">du bénéficiaire sur la liste officielle ; nombre de têtes réellement importées ; déclarations douanières ; sociétés utilisées ; actionnariat et bénéficiaire effectif ; paiements ; contrôles sanitaires ; conformité aux critères ; participation éventuelle du parlementaire à des travaux ou interventions relatifs au dispositif ; éventuelles opérations avec des entités liées. Si la totalité de </w:t>
      </w:r>
      <w:r>
        <w:rPr>
          <w:rFonts w:cs="Cambria"/>
        </w:rPr>
        <w:t>ces tests est conforme, le dossier ne révélera qu’une controverse médiatique. Si des écarts apparaissent, il faudra déte</w:t>
      </w:r>
      <w:r>
        <w:rPr>
          <w:rFonts w:cs="Cambria"/>
        </w:rPr>
        <w:t>rminer s’ils relèvent d’une erreur administrative, d’un conflit d’intérêts ou d’une infraction.</w:t>
      </w:r>
      <w:r>
        <w:t xml:space="preserve"> </w:t>
      </w:r>
    </w:p>
    <w:p w14:paraId="61A1B06E" w14:textId="77777777" w:rsidR="00CD748F" w:rsidRDefault="00426F7E">
      <w:pPr>
        <w:pStyle w:val="Titre2"/>
        <w:ind w:left="-5"/>
      </w:pPr>
      <w:r>
        <w:t xml:space="preserve">X. DOSSIER MOHAMMADI TOUHTOUH   DISTINGUER POLÉMIQUE POLITIQUE ET FAIT FINANCIER </w:t>
      </w:r>
    </w:p>
    <w:p w14:paraId="12FA657F" w14:textId="77777777" w:rsidR="00CD748F" w:rsidRDefault="00426F7E">
      <w:pPr>
        <w:ind w:left="-5" w:right="0"/>
      </w:pPr>
      <w:r>
        <w:rPr>
          <w:rFonts w:cs="Cambria"/>
        </w:rPr>
        <w:t xml:space="preserve">Mohammadi Touhtouh, ancien député du RNI à Nador, a fait l’objet de controverses publiques </w:t>
      </w:r>
      <w:r>
        <w:t>relatives au dossier des importations ovines. Le Parlement confirme son statut de député et son appartenance à la commission des finances durant la législature 2021</w:t>
      </w:r>
      <w:r>
        <w:rPr>
          <w:rFonts w:cs="Cambria"/>
        </w:rPr>
        <w:t>–</w:t>
      </w:r>
      <w:r>
        <w:t xml:space="preserve">2026 ; la Cour constitutionnelle a déclaré la vacance de son siège en août 2026. Les accusations relatives à un </w:t>
      </w:r>
      <w:r>
        <w:rPr>
          <w:rFonts w:cs="Cambria"/>
        </w:rPr>
        <w:t xml:space="preserve">éventuel bénéfice dans l’importation ou à un transfert de droits doivent cependant être séparées </w:t>
      </w:r>
      <w:r>
        <w:t xml:space="preserve">de ces faits institutionnels. [S33][S34] </w:t>
      </w:r>
    </w:p>
    <w:p w14:paraId="2B148471" w14:textId="77777777" w:rsidR="00CD748F" w:rsidRDefault="00426F7E">
      <w:pPr>
        <w:spacing w:after="350"/>
        <w:ind w:left="-5" w:right="0"/>
      </w:pPr>
      <w:r>
        <w:rPr>
          <w:rFonts w:cs="Cambria"/>
        </w:rPr>
        <w:t xml:space="preserve">Un audit sérieux ne peut pas déduire d’une appartenance politique une perception indue. Il doit </w:t>
      </w:r>
      <w:r>
        <w:t xml:space="preserve">rechercher les documents qui établissent ou infirment le bénéfice. La question centrale est la </w:t>
      </w:r>
      <w:r>
        <w:rPr>
          <w:rFonts w:cs="Cambria"/>
        </w:rPr>
        <w:t>traçabilité du droit ou de l’autorisation : qui était le titulair</w:t>
      </w:r>
      <w:r>
        <w:t xml:space="preserve">e initial, qui a réellement importé, qui a payé, qui a encaissé, si un droit a été cédé ou transféré et sur quelle base réglementaire. Le rapport classe donc ce dossier, comme le précédent, en **dossier à pièces contradictoires**, et non en fraude constituée. </w:t>
      </w:r>
    </w:p>
    <w:p w14:paraId="4D29AB95" w14:textId="77777777" w:rsidR="00CD748F" w:rsidRDefault="00426F7E">
      <w:pPr>
        <w:pStyle w:val="Titre2"/>
        <w:ind w:left="-5"/>
      </w:pPr>
      <w:r>
        <w:t xml:space="preserve">XI. AL HAOUZ   AUDIT FINANCIER, PHYSIQUE ET TERRITORIAL </w:t>
      </w:r>
    </w:p>
    <w:p w14:paraId="52A84660" w14:textId="77777777" w:rsidR="00CD748F" w:rsidRDefault="00426F7E">
      <w:pPr>
        <w:ind w:left="-5" w:right="0"/>
      </w:pPr>
      <w:r>
        <w:rPr>
          <w:rFonts w:cs="Cambria"/>
        </w:rPr>
        <w:t xml:space="preserve">Le programme d’Al Haouz est le cas le plus important pour tester la capacité de l’État à transformer une enveloppe exceptionnelle en résultats. L’enveloppe annoncée de 120 Md DH sur cinq ans est </w:t>
      </w:r>
      <w:r>
        <w:t xml:space="preserve">une enveloppe de programme ; elle ne doit pas être présentée comme une dépense déjà réalisée sur les seuls logements. La Cour des comptes signalait plus de 9,5 Md DH de dépenses liées à la réhabilitation générale à fin octobre 2024. Cette donnée et les volumes de logements reconstruits ne répondent pas à la même question que les 120 Md DH. [F3][S23] </w:t>
      </w:r>
    </w:p>
    <w:p w14:paraId="1CA0A326" w14:textId="77777777" w:rsidR="00CD748F" w:rsidRDefault="00426F7E">
      <w:pPr>
        <w:spacing w:after="150" w:line="259" w:lineRule="auto"/>
        <w:ind w:left="0" w:right="0" w:firstLine="0"/>
        <w:jc w:val="left"/>
      </w:pPr>
      <w:r>
        <w:t xml:space="preserve"> </w:t>
      </w:r>
    </w:p>
    <w:p w14:paraId="599FAD37" w14:textId="77777777" w:rsidR="00CD748F" w:rsidRDefault="00426F7E">
      <w:pPr>
        <w:spacing w:after="148" w:line="259" w:lineRule="auto"/>
        <w:ind w:left="0" w:right="0" w:firstLine="0"/>
        <w:jc w:val="left"/>
      </w:pPr>
      <w:r>
        <w:t xml:space="preserve"> </w:t>
      </w:r>
    </w:p>
    <w:p w14:paraId="5DC4EA99" w14:textId="77777777" w:rsidR="00CD748F" w:rsidRDefault="00426F7E">
      <w:pPr>
        <w:spacing w:after="0" w:line="259" w:lineRule="auto"/>
        <w:ind w:left="0" w:right="0" w:firstLine="0"/>
        <w:jc w:val="left"/>
      </w:pPr>
      <w:r>
        <w:t xml:space="preserve"> </w:t>
      </w:r>
    </w:p>
    <w:tbl>
      <w:tblPr>
        <w:tblStyle w:val="TableGrid"/>
        <w:tblW w:w="9961" w:type="dxa"/>
        <w:tblInd w:w="7" w:type="dxa"/>
        <w:tblCellMar>
          <w:top w:w="83" w:type="dxa"/>
          <w:left w:w="0" w:type="dxa"/>
          <w:bottom w:w="0" w:type="dxa"/>
          <w:right w:w="60" w:type="dxa"/>
        </w:tblCellMar>
        <w:tblLook w:val="04A0" w:firstRow="1" w:lastRow="0" w:firstColumn="1" w:lastColumn="0" w:noHBand="0" w:noVBand="1"/>
      </w:tblPr>
      <w:tblGrid>
        <w:gridCol w:w="1771"/>
        <w:gridCol w:w="2841"/>
        <w:gridCol w:w="696"/>
        <w:gridCol w:w="1824"/>
        <w:gridCol w:w="2829"/>
      </w:tblGrid>
      <w:tr w:rsidR="00CD748F" w14:paraId="6518E002" w14:textId="77777777">
        <w:trPr>
          <w:trHeight w:val="373"/>
        </w:trPr>
        <w:tc>
          <w:tcPr>
            <w:tcW w:w="1770" w:type="dxa"/>
            <w:tcBorders>
              <w:top w:val="single" w:sz="4" w:space="0" w:color="000000"/>
              <w:left w:val="single" w:sz="4" w:space="0" w:color="000000"/>
              <w:bottom w:val="single" w:sz="33" w:space="0" w:color="EEF3F7"/>
              <w:right w:val="single" w:sz="4" w:space="0" w:color="000000"/>
            </w:tcBorders>
            <w:shd w:val="clear" w:color="auto" w:fill="163A5F"/>
          </w:tcPr>
          <w:p w14:paraId="6668E4B1" w14:textId="77777777" w:rsidR="00CD748F" w:rsidRDefault="00426F7E">
            <w:pPr>
              <w:spacing w:after="0" w:line="259" w:lineRule="auto"/>
              <w:ind w:left="99" w:right="0" w:firstLine="0"/>
              <w:jc w:val="left"/>
            </w:pPr>
            <w:r>
              <w:rPr>
                <w:b/>
                <w:color w:val="FFFFFF"/>
                <w:sz w:val="20"/>
              </w:rPr>
              <w:t>Date</w:t>
            </w:r>
            <w:r>
              <w:rPr>
                <w:color w:val="FFFFFF"/>
              </w:rPr>
              <w:t xml:space="preserve"> </w:t>
            </w:r>
          </w:p>
        </w:tc>
        <w:tc>
          <w:tcPr>
            <w:tcW w:w="2841" w:type="dxa"/>
            <w:tcBorders>
              <w:top w:val="single" w:sz="4" w:space="0" w:color="000000"/>
              <w:left w:val="single" w:sz="4" w:space="0" w:color="000000"/>
              <w:bottom w:val="single" w:sz="33" w:space="0" w:color="EEF3F7"/>
              <w:right w:val="nil"/>
            </w:tcBorders>
            <w:shd w:val="clear" w:color="auto" w:fill="163A5F"/>
          </w:tcPr>
          <w:p w14:paraId="611A56D4" w14:textId="77777777" w:rsidR="00CD748F" w:rsidRDefault="00426F7E">
            <w:pPr>
              <w:spacing w:after="0" w:line="259" w:lineRule="auto"/>
              <w:ind w:left="100" w:right="0" w:firstLine="0"/>
              <w:jc w:val="left"/>
            </w:pPr>
            <w:r>
              <w:rPr>
                <w:b/>
                <w:color w:val="FFFFFF"/>
                <w:sz w:val="20"/>
              </w:rPr>
              <w:t>Indicateur</w:t>
            </w:r>
            <w:r>
              <w:rPr>
                <w:color w:val="FFFFFF"/>
              </w:rPr>
              <w:t xml:space="preserve"> </w:t>
            </w:r>
          </w:p>
        </w:tc>
        <w:tc>
          <w:tcPr>
            <w:tcW w:w="696" w:type="dxa"/>
            <w:tcBorders>
              <w:top w:val="single" w:sz="4" w:space="0" w:color="000000"/>
              <w:left w:val="nil"/>
              <w:bottom w:val="single" w:sz="33" w:space="0" w:color="EEF3F7"/>
              <w:right w:val="single" w:sz="4" w:space="0" w:color="000000"/>
            </w:tcBorders>
            <w:shd w:val="clear" w:color="auto" w:fill="163A5F"/>
          </w:tcPr>
          <w:p w14:paraId="4A81FEDF" w14:textId="77777777" w:rsidR="00CD748F" w:rsidRDefault="00CD748F">
            <w:pPr>
              <w:spacing w:after="160" w:line="259" w:lineRule="auto"/>
              <w:ind w:left="0" w:right="0" w:firstLine="0"/>
              <w:jc w:val="left"/>
            </w:pPr>
          </w:p>
        </w:tc>
        <w:tc>
          <w:tcPr>
            <w:tcW w:w="1824" w:type="dxa"/>
            <w:tcBorders>
              <w:top w:val="single" w:sz="4" w:space="0" w:color="000000"/>
              <w:left w:val="single" w:sz="4" w:space="0" w:color="000000"/>
              <w:bottom w:val="single" w:sz="33" w:space="0" w:color="EEF3F7"/>
              <w:right w:val="single" w:sz="4" w:space="0" w:color="000000"/>
            </w:tcBorders>
            <w:shd w:val="clear" w:color="auto" w:fill="163A5F"/>
          </w:tcPr>
          <w:p w14:paraId="781B9483" w14:textId="77777777" w:rsidR="00CD748F" w:rsidRDefault="00426F7E">
            <w:pPr>
              <w:spacing w:after="0" w:line="259" w:lineRule="auto"/>
              <w:ind w:left="101" w:right="0" w:firstLine="0"/>
              <w:jc w:val="left"/>
            </w:pPr>
            <w:r>
              <w:rPr>
                <w:b/>
                <w:color w:val="FFFFFF"/>
                <w:sz w:val="20"/>
              </w:rPr>
              <w:t>Valeur</w:t>
            </w:r>
            <w:r>
              <w:rPr>
                <w:color w:val="FFFFFF"/>
              </w:rPr>
              <w:t xml:space="preserve"> </w:t>
            </w:r>
          </w:p>
        </w:tc>
        <w:tc>
          <w:tcPr>
            <w:tcW w:w="2829" w:type="dxa"/>
            <w:tcBorders>
              <w:top w:val="single" w:sz="4" w:space="0" w:color="000000"/>
              <w:left w:val="single" w:sz="4" w:space="0" w:color="000000"/>
              <w:bottom w:val="single" w:sz="33" w:space="0" w:color="EEF3F7"/>
              <w:right w:val="single" w:sz="4" w:space="0" w:color="000000"/>
            </w:tcBorders>
            <w:shd w:val="clear" w:color="auto" w:fill="163A5F"/>
          </w:tcPr>
          <w:p w14:paraId="551D6E2F" w14:textId="77777777" w:rsidR="00CD748F" w:rsidRDefault="00426F7E">
            <w:pPr>
              <w:spacing w:after="0" w:line="259" w:lineRule="auto"/>
              <w:ind w:left="101" w:right="0" w:firstLine="0"/>
              <w:jc w:val="left"/>
            </w:pPr>
            <w:r>
              <w:rPr>
                <w:b/>
                <w:color w:val="FFFFFF"/>
                <w:sz w:val="20"/>
              </w:rPr>
              <w:t>Interprétation correcte</w:t>
            </w:r>
            <w:r>
              <w:rPr>
                <w:color w:val="FFFFFF"/>
              </w:rPr>
              <w:t xml:space="preserve"> </w:t>
            </w:r>
          </w:p>
        </w:tc>
      </w:tr>
      <w:tr w:rsidR="00CD748F" w14:paraId="3324BFAC" w14:textId="77777777">
        <w:trPr>
          <w:trHeight w:val="645"/>
        </w:trPr>
        <w:tc>
          <w:tcPr>
            <w:tcW w:w="1770"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06568BE4" w14:textId="77777777" w:rsidR="00CD748F" w:rsidRDefault="00426F7E">
            <w:pPr>
              <w:spacing w:after="0" w:line="259" w:lineRule="auto"/>
              <w:ind w:left="99" w:right="0" w:firstLine="0"/>
              <w:jc w:val="left"/>
            </w:pPr>
            <w:r>
              <w:rPr>
                <w:sz w:val="20"/>
              </w:rPr>
              <w:t>20 mars 2025</w:t>
            </w:r>
            <w:r>
              <w:t xml:space="preserve"> </w:t>
            </w:r>
          </w:p>
        </w:tc>
        <w:tc>
          <w:tcPr>
            <w:tcW w:w="2841" w:type="dxa"/>
            <w:tcBorders>
              <w:top w:val="single" w:sz="33" w:space="0" w:color="EEF3F7"/>
              <w:left w:val="single" w:sz="4" w:space="0" w:color="000000"/>
              <w:bottom w:val="single" w:sz="4" w:space="0" w:color="000000"/>
              <w:right w:val="nil"/>
            </w:tcBorders>
            <w:shd w:val="clear" w:color="auto" w:fill="EEF3F7"/>
          </w:tcPr>
          <w:p w14:paraId="4141512A" w14:textId="77777777" w:rsidR="00CD748F" w:rsidRDefault="00426F7E">
            <w:pPr>
              <w:tabs>
                <w:tab w:val="center" w:pos="1831"/>
              </w:tabs>
              <w:spacing w:after="16" w:line="259" w:lineRule="auto"/>
              <w:ind w:left="0" w:right="0" w:firstLine="0"/>
              <w:jc w:val="left"/>
            </w:pPr>
            <w:r>
              <w:rPr>
                <w:sz w:val="20"/>
              </w:rPr>
              <w:t xml:space="preserve">Familles </w:t>
            </w:r>
            <w:r>
              <w:rPr>
                <w:sz w:val="20"/>
              </w:rPr>
              <w:tab/>
              <w:t xml:space="preserve">ayant </w:t>
            </w:r>
          </w:p>
          <w:p w14:paraId="01D39FF6" w14:textId="77777777" w:rsidR="00CD748F" w:rsidRDefault="00426F7E">
            <w:pPr>
              <w:spacing w:after="0" w:line="259" w:lineRule="auto"/>
              <w:ind w:left="100" w:right="0" w:firstLine="0"/>
              <w:jc w:val="left"/>
            </w:pPr>
            <w:r>
              <w:rPr>
                <w:sz w:val="20"/>
              </w:rPr>
              <w:t>construction/réhabilitation</w:t>
            </w:r>
            <w:r>
              <w:t xml:space="preserve"> </w:t>
            </w:r>
          </w:p>
        </w:tc>
        <w:tc>
          <w:tcPr>
            <w:tcW w:w="696" w:type="dxa"/>
            <w:tcBorders>
              <w:top w:val="single" w:sz="33" w:space="0" w:color="EEF3F7"/>
              <w:left w:val="nil"/>
              <w:bottom w:val="single" w:sz="4" w:space="0" w:color="000000"/>
              <w:right w:val="single" w:sz="4" w:space="0" w:color="000000"/>
            </w:tcBorders>
            <w:shd w:val="clear" w:color="auto" w:fill="EEF3F7"/>
          </w:tcPr>
          <w:p w14:paraId="2EAC62D4" w14:textId="77777777" w:rsidR="00CD748F" w:rsidRDefault="00426F7E">
            <w:pPr>
              <w:spacing w:after="0" w:line="259" w:lineRule="auto"/>
              <w:ind w:left="0" w:right="0" w:firstLine="0"/>
            </w:pPr>
            <w:r>
              <w:rPr>
                <w:sz w:val="20"/>
              </w:rPr>
              <w:t xml:space="preserve">achevé </w:t>
            </w:r>
          </w:p>
        </w:tc>
        <w:tc>
          <w:tcPr>
            <w:tcW w:w="1824"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26583D48" w14:textId="77777777" w:rsidR="00CD748F" w:rsidRDefault="00426F7E">
            <w:pPr>
              <w:spacing w:after="0" w:line="259" w:lineRule="auto"/>
              <w:ind w:left="101" w:right="0" w:firstLine="0"/>
              <w:jc w:val="left"/>
            </w:pPr>
            <w:r>
              <w:rPr>
                <w:sz w:val="20"/>
              </w:rPr>
              <w:t>33 636</w:t>
            </w:r>
            <w:r>
              <w:t xml:space="preserve"> </w:t>
            </w:r>
          </w:p>
        </w:tc>
        <w:tc>
          <w:tcPr>
            <w:tcW w:w="2829"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2233AA9B" w14:textId="77777777" w:rsidR="00CD748F" w:rsidRDefault="00426F7E">
            <w:pPr>
              <w:spacing w:after="0" w:line="259" w:lineRule="auto"/>
              <w:ind w:left="101" w:right="0" w:firstLine="0"/>
              <w:jc w:val="left"/>
            </w:pPr>
            <w:r>
              <w:rPr>
                <w:sz w:val="20"/>
              </w:rPr>
              <w:t>Résultat administratif déclaré</w:t>
            </w:r>
            <w:r>
              <w:t xml:space="preserve"> </w:t>
            </w:r>
          </w:p>
        </w:tc>
      </w:tr>
      <w:tr w:rsidR="00CD748F" w14:paraId="65D7A39E" w14:textId="77777777">
        <w:trPr>
          <w:trHeight w:val="510"/>
        </w:trPr>
        <w:tc>
          <w:tcPr>
            <w:tcW w:w="1770" w:type="dxa"/>
            <w:tcBorders>
              <w:top w:val="single" w:sz="4" w:space="0" w:color="000000"/>
              <w:left w:val="single" w:sz="4" w:space="0" w:color="000000"/>
              <w:bottom w:val="single" w:sz="33" w:space="0" w:color="EEF3F7"/>
              <w:right w:val="single" w:sz="4" w:space="0" w:color="000000"/>
            </w:tcBorders>
            <w:vAlign w:val="center"/>
          </w:tcPr>
          <w:p w14:paraId="23D9E847" w14:textId="77777777" w:rsidR="00CD748F" w:rsidRDefault="00426F7E">
            <w:pPr>
              <w:spacing w:after="0" w:line="259" w:lineRule="auto"/>
              <w:ind w:left="99" w:right="0" w:firstLine="0"/>
              <w:jc w:val="left"/>
            </w:pPr>
            <w:r>
              <w:rPr>
                <w:sz w:val="20"/>
              </w:rPr>
              <w:t>10 nov. 2025</w:t>
            </w:r>
            <w:r>
              <w:t xml:space="preserve"> </w:t>
            </w:r>
          </w:p>
        </w:tc>
        <w:tc>
          <w:tcPr>
            <w:tcW w:w="2841" w:type="dxa"/>
            <w:tcBorders>
              <w:top w:val="single" w:sz="4" w:space="0" w:color="000000"/>
              <w:left w:val="single" w:sz="4" w:space="0" w:color="000000"/>
              <w:bottom w:val="single" w:sz="33" w:space="0" w:color="EEF3F7"/>
              <w:right w:val="nil"/>
            </w:tcBorders>
            <w:vAlign w:val="center"/>
          </w:tcPr>
          <w:p w14:paraId="79B0A782" w14:textId="77777777" w:rsidR="00CD748F" w:rsidRDefault="00426F7E">
            <w:pPr>
              <w:spacing w:after="0" w:line="259" w:lineRule="auto"/>
              <w:ind w:left="100" w:right="0" w:firstLine="0"/>
              <w:jc w:val="left"/>
            </w:pPr>
            <w:r>
              <w:rPr>
                <w:sz w:val="20"/>
              </w:rPr>
              <w:t>Habitations reconstruites</w:t>
            </w:r>
            <w:r>
              <w:t xml:space="preserve"> </w:t>
            </w:r>
          </w:p>
        </w:tc>
        <w:tc>
          <w:tcPr>
            <w:tcW w:w="696" w:type="dxa"/>
            <w:tcBorders>
              <w:top w:val="single" w:sz="4" w:space="0" w:color="000000"/>
              <w:left w:val="nil"/>
              <w:bottom w:val="single" w:sz="33" w:space="0" w:color="EEF3F7"/>
              <w:right w:val="single" w:sz="4" w:space="0" w:color="000000"/>
            </w:tcBorders>
          </w:tcPr>
          <w:p w14:paraId="09171D84" w14:textId="77777777" w:rsidR="00CD748F" w:rsidRDefault="00CD748F">
            <w:pPr>
              <w:spacing w:after="160" w:line="259" w:lineRule="auto"/>
              <w:ind w:left="0" w:right="0" w:firstLine="0"/>
              <w:jc w:val="left"/>
            </w:pPr>
          </w:p>
        </w:tc>
        <w:tc>
          <w:tcPr>
            <w:tcW w:w="1824" w:type="dxa"/>
            <w:tcBorders>
              <w:top w:val="single" w:sz="4" w:space="0" w:color="000000"/>
              <w:left w:val="single" w:sz="4" w:space="0" w:color="000000"/>
              <w:bottom w:val="single" w:sz="33" w:space="0" w:color="EEF3F7"/>
              <w:right w:val="single" w:sz="4" w:space="0" w:color="000000"/>
            </w:tcBorders>
            <w:vAlign w:val="center"/>
          </w:tcPr>
          <w:p w14:paraId="56D40B06" w14:textId="77777777" w:rsidR="00CD748F" w:rsidRDefault="00426F7E">
            <w:pPr>
              <w:spacing w:after="0" w:line="259" w:lineRule="auto"/>
              <w:ind w:left="101" w:right="0" w:firstLine="0"/>
              <w:jc w:val="left"/>
            </w:pPr>
            <w:r>
              <w:rPr>
                <w:sz w:val="20"/>
              </w:rPr>
              <w:t>53 648</w:t>
            </w:r>
            <w:r>
              <w:t xml:space="preserve"> </w:t>
            </w:r>
          </w:p>
        </w:tc>
        <w:tc>
          <w:tcPr>
            <w:tcW w:w="2829" w:type="dxa"/>
            <w:tcBorders>
              <w:top w:val="single" w:sz="4" w:space="0" w:color="000000"/>
              <w:left w:val="single" w:sz="4" w:space="0" w:color="000000"/>
              <w:bottom w:val="single" w:sz="33" w:space="0" w:color="EEF3F7"/>
              <w:right w:val="single" w:sz="4" w:space="0" w:color="000000"/>
            </w:tcBorders>
            <w:vAlign w:val="center"/>
          </w:tcPr>
          <w:p w14:paraId="1FB7B641" w14:textId="77777777" w:rsidR="00CD748F" w:rsidRDefault="00426F7E">
            <w:pPr>
              <w:spacing w:after="0" w:line="259" w:lineRule="auto"/>
              <w:ind w:left="101" w:right="0" w:firstLine="0"/>
              <w:jc w:val="left"/>
            </w:pPr>
            <w:r>
              <w:rPr>
                <w:sz w:val="20"/>
              </w:rPr>
              <w:t>Avancement physique déclaré</w:t>
            </w:r>
            <w:r>
              <w:t xml:space="preserve"> </w:t>
            </w:r>
          </w:p>
        </w:tc>
      </w:tr>
      <w:tr w:rsidR="00CD748F" w14:paraId="294B5BD1" w14:textId="77777777">
        <w:trPr>
          <w:trHeight w:val="380"/>
        </w:trPr>
        <w:tc>
          <w:tcPr>
            <w:tcW w:w="1770" w:type="dxa"/>
            <w:tcBorders>
              <w:top w:val="single" w:sz="33" w:space="0" w:color="EEF3F7"/>
              <w:left w:val="single" w:sz="4" w:space="0" w:color="000000"/>
              <w:bottom w:val="single" w:sz="4" w:space="0" w:color="000000"/>
              <w:right w:val="single" w:sz="4" w:space="0" w:color="000000"/>
            </w:tcBorders>
            <w:shd w:val="clear" w:color="auto" w:fill="EEF3F7"/>
          </w:tcPr>
          <w:p w14:paraId="1CACD398" w14:textId="77777777" w:rsidR="00CD748F" w:rsidRDefault="00426F7E">
            <w:pPr>
              <w:spacing w:after="0" w:line="259" w:lineRule="auto"/>
              <w:ind w:left="99" w:right="0" w:firstLine="0"/>
              <w:jc w:val="left"/>
            </w:pPr>
            <w:r>
              <w:rPr>
                <w:sz w:val="20"/>
              </w:rPr>
              <w:t>10 nov. 2025</w:t>
            </w:r>
            <w:r>
              <w:t xml:space="preserve"> </w:t>
            </w:r>
          </w:p>
        </w:tc>
        <w:tc>
          <w:tcPr>
            <w:tcW w:w="2841" w:type="dxa"/>
            <w:tcBorders>
              <w:top w:val="single" w:sz="33" w:space="0" w:color="EEF3F7"/>
              <w:left w:val="single" w:sz="4" w:space="0" w:color="000000"/>
              <w:bottom w:val="single" w:sz="4" w:space="0" w:color="000000"/>
              <w:right w:val="nil"/>
            </w:tcBorders>
            <w:shd w:val="clear" w:color="auto" w:fill="EEF3F7"/>
          </w:tcPr>
          <w:p w14:paraId="2D3E36FA" w14:textId="77777777" w:rsidR="00CD748F" w:rsidRDefault="00426F7E">
            <w:pPr>
              <w:spacing w:after="0" w:line="259" w:lineRule="auto"/>
              <w:ind w:left="100" w:right="0" w:firstLine="0"/>
              <w:jc w:val="left"/>
            </w:pPr>
            <w:r>
              <w:rPr>
                <w:sz w:val="20"/>
              </w:rPr>
              <w:t>Structures en réception</w:t>
            </w:r>
            <w:r>
              <w:t xml:space="preserve"> </w:t>
            </w:r>
          </w:p>
        </w:tc>
        <w:tc>
          <w:tcPr>
            <w:tcW w:w="696" w:type="dxa"/>
            <w:tcBorders>
              <w:top w:val="single" w:sz="33" w:space="0" w:color="EEF3F7"/>
              <w:left w:val="nil"/>
              <w:bottom w:val="single" w:sz="4" w:space="0" w:color="000000"/>
              <w:right w:val="single" w:sz="4" w:space="0" w:color="000000"/>
            </w:tcBorders>
            <w:shd w:val="clear" w:color="auto" w:fill="EEF3F7"/>
          </w:tcPr>
          <w:p w14:paraId="46CFD69B" w14:textId="77777777" w:rsidR="00CD748F" w:rsidRDefault="00CD748F">
            <w:pPr>
              <w:spacing w:after="160" w:line="259" w:lineRule="auto"/>
              <w:ind w:left="0" w:right="0" w:firstLine="0"/>
              <w:jc w:val="left"/>
            </w:pPr>
          </w:p>
        </w:tc>
        <w:tc>
          <w:tcPr>
            <w:tcW w:w="1824" w:type="dxa"/>
            <w:tcBorders>
              <w:top w:val="single" w:sz="33" w:space="0" w:color="EEF3F7"/>
              <w:left w:val="single" w:sz="4" w:space="0" w:color="000000"/>
              <w:bottom w:val="single" w:sz="4" w:space="0" w:color="000000"/>
              <w:right w:val="single" w:sz="4" w:space="0" w:color="000000"/>
            </w:tcBorders>
            <w:shd w:val="clear" w:color="auto" w:fill="EEF3F7"/>
          </w:tcPr>
          <w:p w14:paraId="2E68E495" w14:textId="77777777" w:rsidR="00CD748F" w:rsidRDefault="00426F7E">
            <w:pPr>
              <w:spacing w:after="0" w:line="259" w:lineRule="auto"/>
              <w:ind w:left="101" w:right="0" w:firstLine="0"/>
              <w:jc w:val="left"/>
            </w:pPr>
            <w:r>
              <w:rPr>
                <w:sz w:val="20"/>
              </w:rPr>
              <w:t>53 374</w:t>
            </w:r>
            <w:r>
              <w:t xml:space="preserve"> </w:t>
            </w:r>
          </w:p>
        </w:tc>
        <w:tc>
          <w:tcPr>
            <w:tcW w:w="2829" w:type="dxa"/>
            <w:tcBorders>
              <w:top w:val="single" w:sz="33" w:space="0" w:color="EEF3F7"/>
              <w:left w:val="single" w:sz="4" w:space="0" w:color="000000"/>
              <w:bottom w:val="single" w:sz="4" w:space="0" w:color="000000"/>
              <w:right w:val="single" w:sz="4" w:space="0" w:color="000000"/>
            </w:tcBorders>
            <w:shd w:val="clear" w:color="auto" w:fill="EEF3F7"/>
          </w:tcPr>
          <w:p w14:paraId="0915EDAB" w14:textId="77777777" w:rsidR="00CD748F" w:rsidRDefault="00426F7E">
            <w:pPr>
              <w:spacing w:after="0" w:line="259" w:lineRule="auto"/>
              <w:ind w:left="101" w:right="0" w:firstLine="0"/>
              <w:jc w:val="left"/>
            </w:pPr>
            <w:r>
              <w:rPr>
                <w:sz w:val="20"/>
              </w:rPr>
              <w:t>Étape de chantier</w:t>
            </w:r>
            <w:r>
              <w:t xml:space="preserve"> </w:t>
            </w:r>
          </w:p>
        </w:tc>
      </w:tr>
      <w:tr w:rsidR="00CD748F" w14:paraId="21C1D097" w14:textId="77777777">
        <w:trPr>
          <w:trHeight w:val="508"/>
        </w:trPr>
        <w:tc>
          <w:tcPr>
            <w:tcW w:w="1770" w:type="dxa"/>
            <w:tcBorders>
              <w:top w:val="single" w:sz="4" w:space="0" w:color="000000"/>
              <w:left w:val="single" w:sz="4" w:space="0" w:color="000000"/>
              <w:bottom w:val="single" w:sz="33" w:space="0" w:color="EEF3F7"/>
              <w:right w:val="single" w:sz="4" w:space="0" w:color="000000"/>
            </w:tcBorders>
            <w:vAlign w:val="center"/>
          </w:tcPr>
          <w:p w14:paraId="4B0E1839" w14:textId="77777777" w:rsidR="00CD748F" w:rsidRDefault="00426F7E">
            <w:pPr>
              <w:spacing w:after="0" w:line="259" w:lineRule="auto"/>
              <w:ind w:left="99" w:right="0" w:firstLine="0"/>
              <w:jc w:val="left"/>
            </w:pPr>
            <w:r>
              <w:rPr>
                <w:sz w:val="20"/>
              </w:rPr>
              <w:t>10 nov. 2025</w:t>
            </w:r>
            <w:r>
              <w:t xml:space="preserve"> </w:t>
            </w:r>
          </w:p>
        </w:tc>
        <w:tc>
          <w:tcPr>
            <w:tcW w:w="2841" w:type="dxa"/>
            <w:tcBorders>
              <w:top w:val="single" w:sz="4" w:space="0" w:color="000000"/>
              <w:left w:val="single" w:sz="4" w:space="0" w:color="000000"/>
              <w:bottom w:val="single" w:sz="33" w:space="0" w:color="EEF3F7"/>
              <w:right w:val="nil"/>
            </w:tcBorders>
            <w:vAlign w:val="center"/>
          </w:tcPr>
          <w:p w14:paraId="76C41E7E" w14:textId="77777777" w:rsidR="00CD748F" w:rsidRDefault="00426F7E">
            <w:pPr>
              <w:spacing w:after="0" w:line="259" w:lineRule="auto"/>
              <w:ind w:left="100" w:right="0" w:firstLine="0"/>
              <w:jc w:val="left"/>
            </w:pPr>
            <w:r>
              <w:rPr>
                <w:sz w:val="20"/>
              </w:rPr>
              <w:t>Fondations en réception</w:t>
            </w:r>
            <w:r>
              <w:t xml:space="preserve"> </w:t>
            </w:r>
          </w:p>
        </w:tc>
        <w:tc>
          <w:tcPr>
            <w:tcW w:w="696" w:type="dxa"/>
            <w:tcBorders>
              <w:top w:val="single" w:sz="4" w:space="0" w:color="000000"/>
              <w:left w:val="nil"/>
              <w:bottom w:val="single" w:sz="33" w:space="0" w:color="EEF3F7"/>
              <w:right w:val="single" w:sz="4" w:space="0" w:color="000000"/>
            </w:tcBorders>
          </w:tcPr>
          <w:p w14:paraId="5CD2B52B" w14:textId="77777777" w:rsidR="00CD748F" w:rsidRDefault="00CD748F">
            <w:pPr>
              <w:spacing w:after="160" w:line="259" w:lineRule="auto"/>
              <w:ind w:left="0" w:right="0" w:firstLine="0"/>
              <w:jc w:val="left"/>
            </w:pPr>
          </w:p>
        </w:tc>
        <w:tc>
          <w:tcPr>
            <w:tcW w:w="1824" w:type="dxa"/>
            <w:tcBorders>
              <w:top w:val="single" w:sz="4" w:space="0" w:color="000000"/>
              <w:left w:val="single" w:sz="4" w:space="0" w:color="000000"/>
              <w:bottom w:val="single" w:sz="33" w:space="0" w:color="EEF3F7"/>
              <w:right w:val="single" w:sz="4" w:space="0" w:color="000000"/>
            </w:tcBorders>
            <w:vAlign w:val="center"/>
          </w:tcPr>
          <w:p w14:paraId="1A7D13F5" w14:textId="77777777" w:rsidR="00CD748F" w:rsidRDefault="00426F7E">
            <w:pPr>
              <w:spacing w:after="0" w:line="259" w:lineRule="auto"/>
              <w:ind w:left="101" w:right="0" w:firstLine="0"/>
              <w:jc w:val="left"/>
            </w:pPr>
            <w:r>
              <w:rPr>
                <w:sz w:val="20"/>
              </w:rPr>
              <w:t>55 175</w:t>
            </w:r>
            <w:r>
              <w:t xml:space="preserve"> </w:t>
            </w:r>
          </w:p>
        </w:tc>
        <w:tc>
          <w:tcPr>
            <w:tcW w:w="2829" w:type="dxa"/>
            <w:tcBorders>
              <w:top w:val="single" w:sz="4" w:space="0" w:color="000000"/>
              <w:left w:val="single" w:sz="4" w:space="0" w:color="000000"/>
              <w:bottom w:val="single" w:sz="33" w:space="0" w:color="EEF3F7"/>
              <w:right w:val="single" w:sz="4" w:space="0" w:color="000000"/>
            </w:tcBorders>
            <w:vAlign w:val="center"/>
          </w:tcPr>
          <w:p w14:paraId="4B734F9B" w14:textId="77777777" w:rsidR="00CD748F" w:rsidRDefault="00426F7E">
            <w:pPr>
              <w:spacing w:after="0" w:line="259" w:lineRule="auto"/>
              <w:ind w:left="101" w:right="0" w:firstLine="0"/>
              <w:jc w:val="left"/>
            </w:pPr>
            <w:r>
              <w:rPr>
                <w:sz w:val="20"/>
              </w:rPr>
              <w:t>Étape technique</w:t>
            </w:r>
            <w:r>
              <w:t xml:space="preserve"> </w:t>
            </w:r>
          </w:p>
        </w:tc>
      </w:tr>
      <w:tr w:rsidR="00CD748F" w14:paraId="3E3ABAB5" w14:textId="77777777">
        <w:trPr>
          <w:trHeight w:val="380"/>
        </w:trPr>
        <w:tc>
          <w:tcPr>
            <w:tcW w:w="1770" w:type="dxa"/>
            <w:tcBorders>
              <w:top w:val="single" w:sz="33" w:space="0" w:color="EEF3F7"/>
              <w:left w:val="single" w:sz="4" w:space="0" w:color="000000"/>
              <w:bottom w:val="single" w:sz="4" w:space="0" w:color="000000"/>
              <w:right w:val="single" w:sz="4" w:space="0" w:color="000000"/>
            </w:tcBorders>
            <w:shd w:val="clear" w:color="auto" w:fill="EEF3F7"/>
          </w:tcPr>
          <w:p w14:paraId="236BFE2F" w14:textId="77777777" w:rsidR="00CD748F" w:rsidRDefault="00426F7E">
            <w:pPr>
              <w:spacing w:after="0" w:line="259" w:lineRule="auto"/>
              <w:ind w:left="99" w:right="0" w:firstLine="0"/>
              <w:jc w:val="left"/>
            </w:pPr>
            <w:r>
              <w:rPr>
                <w:sz w:val="20"/>
              </w:rPr>
              <w:t>10 nov. 2025</w:t>
            </w:r>
            <w:r>
              <w:t xml:space="preserve"> </w:t>
            </w:r>
          </w:p>
        </w:tc>
        <w:tc>
          <w:tcPr>
            <w:tcW w:w="2841" w:type="dxa"/>
            <w:tcBorders>
              <w:top w:val="single" w:sz="33" w:space="0" w:color="EEF3F7"/>
              <w:left w:val="single" w:sz="4" w:space="0" w:color="000000"/>
              <w:bottom w:val="single" w:sz="4" w:space="0" w:color="000000"/>
              <w:right w:val="nil"/>
            </w:tcBorders>
            <w:shd w:val="clear" w:color="auto" w:fill="EEF3F7"/>
          </w:tcPr>
          <w:p w14:paraId="010315F0" w14:textId="77777777" w:rsidR="00CD748F" w:rsidRDefault="00426F7E">
            <w:pPr>
              <w:spacing w:after="0" w:line="259" w:lineRule="auto"/>
              <w:ind w:left="100" w:right="0" w:firstLine="0"/>
              <w:jc w:val="left"/>
            </w:pPr>
            <w:r>
              <w:rPr>
                <w:sz w:val="20"/>
              </w:rPr>
              <w:t>Permis délivrés</w:t>
            </w:r>
            <w:r>
              <w:t xml:space="preserve"> </w:t>
            </w:r>
          </w:p>
        </w:tc>
        <w:tc>
          <w:tcPr>
            <w:tcW w:w="696" w:type="dxa"/>
            <w:tcBorders>
              <w:top w:val="single" w:sz="33" w:space="0" w:color="EEF3F7"/>
              <w:left w:val="nil"/>
              <w:bottom w:val="single" w:sz="4" w:space="0" w:color="000000"/>
              <w:right w:val="single" w:sz="4" w:space="0" w:color="000000"/>
            </w:tcBorders>
            <w:shd w:val="clear" w:color="auto" w:fill="EEF3F7"/>
          </w:tcPr>
          <w:p w14:paraId="6E6D48E3" w14:textId="77777777" w:rsidR="00CD748F" w:rsidRDefault="00CD748F">
            <w:pPr>
              <w:spacing w:after="160" w:line="259" w:lineRule="auto"/>
              <w:ind w:left="0" w:right="0" w:firstLine="0"/>
              <w:jc w:val="left"/>
            </w:pPr>
          </w:p>
        </w:tc>
        <w:tc>
          <w:tcPr>
            <w:tcW w:w="1824" w:type="dxa"/>
            <w:tcBorders>
              <w:top w:val="single" w:sz="33" w:space="0" w:color="EEF3F7"/>
              <w:left w:val="single" w:sz="4" w:space="0" w:color="000000"/>
              <w:bottom w:val="single" w:sz="4" w:space="0" w:color="000000"/>
              <w:right w:val="single" w:sz="4" w:space="0" w:color="000000"/>
            </w:tcBorders>
            <w:shd w:val="clear" w:color="auto" w:fill="EEF3F7"/>
          </w:tcPr>
          <w:p w14:paraId="71922F37" w14:textId="77777777" w:rsidR="00CD748F" w:rsidRDefault="00426F7E">
            <w:pPr>
              <w:spacing w:after="0" w:line="259" w:lineRule="auto"/>
              <w:ind w:left="101" w:right="0" w:firstLine="0"/>
              <w:jc w:val="left"/>
            </w:pPr>
            <w:r>
              <w:rPr>
                <w:sz w:val="20"/>
              </w:rPr>
              <w:t>58 945</w:t>
            </w:r>
            <w:r>
              <w:t xml:space="preserve"> </w:t>
            </w:r>
          </w:p>
        </w:tc>
        <w:tc>
          <w:tcPr>
            <w:tcW w:w="2829" w:type="dxa"/>
            <w:tcBorders>
              <w:top w:val="single" w:sz="33" w:space="0" w:color="EEF3F7"/>
              <w:left w:val="single" w:sz="4" w:space="0" w:color="000000"/>
              <w:bottom w:val="single" w:sz="4" w:space="0" w:color="000000"/>
              <w:right w:val="single" w:sz="4" w:space="0" w:color="000000"/>
            </w:tcBorders>
            <w:shd w:val="clear" w:color="auto" w:fill="EEF3F7"/>
          </w:tcPr>
          <w:p w14:paraId="102A34DD" w14:textId="77777777" w:rsidR="00CD748F" w:rsidRDefault="00426F7E">
            <w:pPr>
              <w:spacing w:after="0" w:line="259" w:lineRule="auto"/>
              <w:ind w:left="101" w:right="0" w:firstLine="0"/>
              <w:jc w:val="left"/>
            </w:pPr>
            <w:r>
              <w:rPr>
                <w:sz w:val="20"/>
              </w:rPr>
              <w:t>Autorisation administrative</w:t>
            </w:r>
            <w:r>
              <w:t xml:space="preserve"> </w:t>
            </w:r>
          </w:p>
        </w:tc>
      </w:tr>
    </w:tbl>
    <w:p w14:paraId="6E1982F9" w14:textId="77777777" w:rsidR="00CD748F" w:rsidRDefault="00426F7E">
      <w:pPr>
        <w:spacing w:after="40" w:line="259" w:lineRule="auto"/>
        <w:ind w:left="0" w:right="0" w:firstLine="0"/>
        <w:jc w:val="left"/>
      </w:pPr>
      <w:r>
        <w:t xml:space="preserve"> </w:t>
      </w:r>
    </w:p>
    <w:p w14:paraId="63C286C3" w14:textId="77777777" w:rsidR="00CD748F" w:rsidRDefault="00426F7E">
      <w:pPr>
        <w:ind w:left="-5" w:right="0"/>
      </w:pPr>
      <w:r>
        <w:rPr>
          <w:rFonts w:cs="Cambria"/>
        </w:rPr>
        <w:t xml:space="preserve">Ces chiffres témoignent d’une reconstruction substantielle. Ils ne permettent pas de conclure que </w:t>
      </w:r>
      <w:r>
        <w:t xml:space="preserve">le programme global est achevé. Le programme comprend aussi routes, eau, agriculture, commerce, tourisme, artisanat, culture et infrastructures publiques. Un audit complet doit donc établir une cartographie par commune et par projet avec quatre chaînes parallèles : chaîne financière, chaîne physique, chaîne technique et chaîne sociale. La chaîne financière va du Fonds spécial aux paiements ; la chaîne physique des marchés aux actifs ; la chaîne technique des </w:t>
      </w:r>
      <w:r>
        <w:rPr>
          <w:rFonts w:cs="Cambria"/>
        </w:rPr>
        <w:t>réceptionnements et contrôles de sécurité ; la ch</w:t>
      </w:r>
      <w:r>
        <w:rPr>
          <w:rFonts w:cs="Cambria"/>
        </w:rPr>
        <w:t xml:space="preserve">aîne sociale des ménages éligibles jusqu’au </w:t>
      </w:r>
      <w:r>
        <w:t xml:space="preserve">règlement des réclamations. </w:t>
      </w:r>
    </w:p>
    <w:p w14:paraId="38B8CDDE" w14:textId="77777777" w:rsidR="00CD748F" w:rsidRDefault="00426F7E">
      <w:pPr>
        <w:spacing w:after="347"/>
        <w:ind w:left="-5" w:right="0"/>
      </w:pPr>
      <w:r>
        <w:rPr>
          <w:rFonts w:cs="Cambria"/>
        </w:rPr>
        <w:t xml:space="preserve">Le point le plus sensible n’est pas l’existence de chantiers. C’est le coût unitaire et l’équité </w:t>
      </w:r>
      <w:r>
        <w:t>territoriale. Deux logements reconstruits peuvent avoir des coûts très différents selon topographie, accès routier, normes parasismiques et niveau de reconstru</w:t>
      </w:r>
      <w:r>
        <w:rPr>
          <w:rFonts w:cs="Cambria"/>
        </w:rPr>
        <w:t xml:space="preserve">ction. L’audit doit donc </w:t>
      </w:r>
      <w:r>
        <w:t xml:space="preserve">comparer coût par logement, délai, surface, type de construction et participation du ménage. Toute analyse qui divise simplement 120 Md DH par 53 648 logements serait économiquement fausse </w:t>
      </w:r>
      <w:r>
        <w:rPr>
          <w:rFonts w:cs="Cambria"/>
        </w:rPr>
        <w:t>parce qu’elle attribuerait aux logements d</w:t>
      </w:r>
      <w:r>
        <w:t xml:space="preserve">es dépenses consacrées à des infrastructures et à </w:t>
      </w:r>
      <w:r>
        <w:rPr>
          <w:rFonts w:cs="Cambria"/>
        </w:rPr>
        <w:t>d’autres secteurs.</w:t>
      </w:r>
      <w:r>
        <w:t xml:space="preserve"> </w:t>
      </w:r>
    </w:p>
    <w:p w14:paraId="24BE8E20" w14:textId="77777777" w:rsidR="00CD748F" w:rsidRDefault="00426F7E">
      <w:pPr>
        <w:pStyle w:val="Titre2"/>
        <w:ind w:left="-5"/>
      </w:pPr>
      <w:r>
        <w:t xml:space="preserve">XII. SANTÉ   INFRASTRUCTURES, AMO ET CAPACITÉ EFFECTIVE </w:t>
      </w:r>
    </w:p>
    <w:p w14:paraId="3D5F1840" w14:textId="77777777" w:rsidR="00CD748F" w:rsidRDefault="00426F7E">
      <w:pPr>
        <w:ind w:left="-5" w:right="0"/>
      </w:pPr>
      <w:r>
        <w:rPr>
          <w:rFonts w:cs="Cambria"/>
        </w:rPr>
        <w:t xml:space="preserve">L’affirmation « zéro nouvel hôpital » ne résiste pas au contrôle factuel. Le parc hospitalier public a </w:t>
      </w:r>
      <w:r>
        <w:t xml:space="preserve">augmenté et plusieurs grands CHU ont été construits, achevés ou mis en service. En 2026, le gouvernement présente un budget santé de plus de 42 Md DH, huit CHU lancés et trois opérationnels, ainsi que plus de 6 400 places de formation médicale contre environ 2 700 </w:t>
      </w:r>
      <w:r>
        <w:rPr>
          <w:rFonts w:cs="Cambria"/>
        </w:rPr>
        <w:t>auparavant. Il s’agit d’un effort matériel réel. [S25][F3]</w:t>
      </w:r>
      <w:r>
        <w:t xml:space="preserve"> </w:t>
      </w:r>
    </w:p>
    <w:p w14:paraId="043212B0" w14:textId="77777777" w:rsidR="00CD748F" w:rsidRDefault="00426F7E">
      <w:pPr>
        <w:spacing w:after="144" w:line="261" w:lineRule="auto"/>
        <w:ind w:left="-5" w:right="0"/>
      </w:pPr>
      <w:r>
        <w:rPr>
          <w:rFonts w:cs="Cambria"/>
        </w:rPr>
        <w:t xml:space="preserve">Mais l’investissement ne constitue pas le résultat final. En 2024, le taux d’exécution des </w:t>
      </w:r>
      <w:r>
        <w:t xml:space="preserve">investissements du ministère de la Santé ressortait à 58,5 %. Par ailleurs, près de 91 % des dépenses de soins AMO recensées étaient orientées vers le secteur privé. </w:t>
      </w:r>
      <w:r>
        <w:rPr>
          <w:rFonts w:cs="Cambria"/>
        </w:rPr>
        <w:t xml:space="preserve">Le sujet d’audit est donc le rendement de l’actif public : coût par lit, date de mise en service, nombre de lits réellement disponibles, personnel réellement présent, taux d’occupation, délai moyen d’accès, activité </w:t>
      </w:r>
      <w:r>
        <w:t xml:space="preserve">chirurgicale, disponibilité de médicaments et consommation budgétaire. [F1][F3] </w:t>
      </w:r>
    </w:p>
    <w:p w14:paraId="1003AFB3" w14:textId="77777777" w:rsidR="00CD748F" w:rsidRDefault="00426F7E">
      <w:pPr>
        <w:spacing w:after="358" w:line="261" w:lineRule="auto"/>
        <w:ind w:left="-5" w:right="0"/>
      </w:pPr>
      <w:r>
        <w:rPr>
          <w:rFonts w:cs="Cambria"/>
        </w:rPr>
        <w:t xml:space="preserve">Le risque est celui d’une dissociation entre couverture financière et offre réelle. La généralisation de l’AMO augmente la demande solvable de soins ; si l’offre publique n’absorbe pas une part </w:t>
      </w:r>
      <w:r>
        <w:t xml:space="preserve">correspondante de cette demande, la dépense peut se déplacer massivement vers le privé. Cela </w:t>
      </w:r>
      <w:r>
        <w:rPr>
          <w:rFonts w:cs="Cambria"/>
        </w:rPr>
        <w:t xml:space="preserve">n’est pas en soi anormal dans un système mixte, mais devient une question de politique publique lorsque la dépense AMO croît beaucoup plus vite que les ressources des régimes. L’évaluation doit </w:t>
      </w:r>
      <w:r>
        <w:t xml:space="preserve">donc croiser dépenses, capacité publique et soutenabilité actuarielle. </w:t>
      </w:r>
    </w:p>
    <w:p w14:paraId="78781D9F" w14:textId="77777777" w:rsidR="00CD748F" w:rsidRDefault="00426F7E">
      <w:pPr>
        <w:pStyle w:val="Titre2"/>
        <w:ind w:left="-5"/>
      </w:pPr>
      <w:r>
        <w:t xml:space="preserve">XIII. ÉDUCATION, PRÉSCOLAIRE ET CAPITAL HUMAIN </w:t>
      </w:r>
    </w:p>
    <w:p w14:paraId="3315546C" w14:textId="77777777" w:rsidR="00CD748F" w:rsidRDefault="00426F7E">
      <w:pPr>
        <w:ind w:left="-5" w:right="0"/>
      </w:pPr>
      <w:r>
        <w:rPr>
          <w:rFonts w:cs="Cambria"/>
        </w:rPr>
        <w:t xml:space="preserve">L’éducation est le dossier où l’écart entre moyens et résultat est le plus difficile à masquer si l’on </w:t>
      </w:r>
      <w:r>
        <w:t xml:space="preserve">utilise un indicateur international indépendant. PISA 2022 reste la référence comparable retenue : 71e en mathématiques, 79e en lecture, 76e en sciences sur 81 participants. Les réformes lancées </w:t>
      </w:r>
      <w:r>
        <w:rPr>
          <w:rFonts w:cs="Cambria"/>
        </w:rPr>
        <w:t xml:space="preserve">depuis 2021 peuvent produire des effets futurs, mais la cohorte PISA 2025 n’avait pas bénéficié du </w:t>
      </w:r>
      <w:r>
        <w:t xml:space="preserve">modèle des écoles pionnières selon la communication ministérielle. On ne peut donc pas déduire </w:t>
      </w:r>
      <w:r>
        <w:rPr>
          <w:rFonts w:cs="Cambria"/>
        </w:rPr>
        <w:t>l’effet causal de ce</w:t>
      </w:r>
      <w:r>
        <w:t xml:space="preserve">tte réforme sur les scores 2025. [F3] </w:t>
      </w:r>
    </w:p>
    <w:p w14:paraId="54549038" w14:textId="77777777" w:rsidR="00CD748F" w:rsidRDefault="00426F7E">
      <w:pPr>
        <w:spacing w:after="350"/>
        <w:ind w:left="-5" w:right="0"/>
      </w:pPr>
      <w:r>
        <w:t>Le préscolaire présente une progression quantitative réelle mais un calendrier repoussé. Le taux de 70,4 % donné par le CSEFRS pour 2024</w:t>
      </w:r>
      <w:r>
        <w:rPr>
          <w:rFonts w:cs="Cambria"/>
        </w:rPr>
        <w:t>–</w:t>
      </w:r>
      <w:r>
        <w:t>2025 et le 85 % annoncé par le ministère pour 2025</w:t>
      </w:r>
      <w:r>
        <w:rPr>
          <w:rFonts w:cs="Cambria"/>
        </w:rPr>
        <w:t xml:space="preserve">– </w:t>
      </w:r>
      <w:r>
        <w:t>2026 ne sont pas nécessairement construits sur un périmètre identiqu</w:t>
      </w:r>
      <w:r>
        <w:rPr>
          <w:rFonts w:cs="Cambria"/>
        </w:rPr>
        <w:t xml:space="preserve">e. L’audit doit retenir une </w:t>
      </w:r>
      <w:r>
        <w:t xml:space="preserve">seule série, ventilée par âge simple, région, ruralité, opérateur, assiduité et disponibilité des places. Il doit également intégrer la qualité pédagogique : qualification des éducateurs, stabilité du personnel, sécurité et acquis linguistiques et numériques. [F2][F3] </w:t>
      </w:r>
    </w:p>
    <w:p w14:paraId="4B2D9E24" w14:textId="77777777" w:rsidR="00CD748F" w:rsidRDefault="00426F7E">
      <w:pPr>
        <w:pStyle w:val="Titre2"/>
        <w:ind w:left="-5"/>
      </w:pPr>
      <w:r>
        <w:t xml:space="preserve">XIV. EAU   SÉCHERESSE, DESSALEMENT, BARRAGES ET GOUVERNANCE </w:t>
      </w:r>
    </w:p>
    <w:p w14:paraId="3018B733" w14:textId="77777777" w:rsidR="00CD748F" w:rsidRDefault="00426F7E">
      <w:pPr>
        <w:spacing w:after="144" w:line="261" w:lineRule="auto"/>
        <w:ind w:left="-5" w:right="0"/>
      </w:pPr>
      <w:r>
        <w:rPr>
          <w:rFonts w:cs="Cambria"/>
        </w:rPr>
        <w:t xml:space="preserve">La politique de l’eau est l’un des domaines où l’effort d’investissement est incontestable. Le </w:t>
      </w:r>
      <w:r>
        <w:t xml:space="preserve">gouvernement et les autorités publiques ont combiné barrages, interconnexions, transferts </w:t>
      </w:r>
      <w:r>
        <w:rPr>
          <w:rFonts w:cs="Cambria"/>
        </w:rPr>
        <w:t>interbassins, dessalement et réutilisation. L’objectif affiché est de m</w:t>
      </w:r>
      <w:r>
        <w:t xml:space="preserve">obiliser à terme plus de 1,7 milliard de mètres cubes par an à travers les stations de dessalement et de couvrir une partie </w:t>
      </w:r>
      <w:r>
        <w:rPr>
          <w:rFonts w:cs="Cambria"/>
        </w:rPr>
        <w:t>majeure des besoins en eau potable à horizon 2030. Le défi n’est cependant pas la capacité théorique : une station de dessalement n’a d’efficacité publique que si elle produit, si elle est alimentée à un coût supportable, si l’</w:t>
      </w:r>
      <w:r>
        <w:rPr>
          <w:rFonts w:cs="Cambria"/>
        </w:rPr>
        <w:t xml:space="preserve">eau est transportée et si les réseaux réduisent les pertes. </w:t>
      </w:r>
      <w:r>
        <w:t xml:space="preserve">[S2][S26] </w:t>
      </w:r>
    </w:p>
    <w:p w14:paraId="3F38FD7D" w14:textId="77777777" w:rsidR="00CD748F" w:rsidRDefault="00426F7E">
      <w:pPr>
        <w:spacing w:after="144" w:line="261" w:lineRule="auto"/>
        <w:ind w:left="-5" w:right="0"/>
      </w:pPr>
      <w:r>
        <w:t xml:space="preserve">Le cas de Figuig est révélateur de la dimension politique de la gouvernance. La contestation a porté </w:t>
      </w:r>
      <w:r>
        <w:rPr>
          <w:rFonts w:cs="Cambria"/>
        </w:rPr>
        <w:t>non seulement sur l’eau mais sur la gouvernance du service, la participation locale et la crainte d’une augmentation des coûts. Un changement institutionne</w:t>
      </w:r>
      <w:r>
        <w:t xml:space="preserve">l techniquement rationnel peut perdre sa légitimité si les citoyens ne savent pas qui contrôle la ressource, qui fixe le tarif, qui finance </w:t>
      </w:r>
      <w:r>
        <w:rPr>
          <w:rFonts w:cs="Cambria"/>
        </w:rPr>
        <w:t>l’investissement et qui rend compte des résultats. Le problème est donc autant celui de la redevabilité que de l’ing</w:t>
      </w:r>
      <w:r>
        <w:t xml:space="preserve">énierie hydraulique. </w:t>
      </w:r>
    </w:p>
    <w:p w14:paraId="086175B6" w14:textId="77777777" w:rsidR="00CD748F" w:rsidRDefault="00426F7E">
      <w:pPr>
        <w:spacing w:after="355" w:line="261" w:lineRule="auto"/>
        <w:ind w:left="-5" w:right="0"/>
      </w:pPr>
      <w:r>
        <w:rPr>
          <w:rFonts w:cs="Cambria"/>
        </w:rPr>
        <w:t xml:space="preserve">L’audit de l’eau doit désormais fonctionner en coût par mètre cube. Pour chaque grande infrastructure, il faut publier coût d’investissement, coût énergétique, volume produit, volume </w:t>
      </w:r>
      <w:r>
        <w:t>distribué, pertes réseau, tarif moyen, subvention éventuelle et impact su</w:t>
      </w:r>
      <w:r>
        <w:rPr>
          <w:rFonts w:cs="Cambria"/>
        </w:rPr>
        <w:t xml:space="preserve">r la continuité. Pour l’eau agricole, l’indicateur pertinent est le rendement économique par mètre cube et non la seule surface irriguée. Pour l’eau potable, l’indicateur pertinent est la continuité et la qualité du service, par </w:t>
      </w:r>
      <w:r>
        <w:t xml:space="preserve">quartier et commune. </w:t>
      </w:r>
    </w:p>
    <w:p w14:paraId="1DED7DAB" w14:textId="77777777" w:rsidR="00CD748F" w:rsidRDefault="00426F7E">
      <w:pPr>
        <w:pStyle w:val="Titre2"/>
        <w:spacing w:after="0" w:line="259" w:lineRule="auto"/>
        <w:ind w:left="-5"/>
      </w:pPr>
      <w:r>
        <w:t xml:space="preserve">XV. TOURISME   SUCCÈS RÉEL, MAIS PERFORMANCE À </w:t>
      </w:r>
      <w:r>
        <w:t>LIRE JUSQU’AU RENDEMENT ÉCONOMIQUE</w:t>
      </w:r>
      <w:r>
        <w:t xml:space="preserve"> </w:t>
      </w:r>
    </w:p>
    <w:p w14:paraId="3AFAC597" w14:textId="77777777" w:rsidR="00CD748F" w:rsidRDefault="00426F7E">
      <w:pPr>
        <w:spacing w:after="144" w:line="261" w:lineRule="auto"/>
        <w:ind w:left="-5" w:right="0"/>
      </w:pPr>
      <w:r>
        <w:rPr>
          <w:rFonts w:cs="Cambria"/>
        </w:rPr>
        <w:t xml:space="preserve">Le tourisme est l’un des secteurs où la performance du mandat apparaît nettement positive. La </w:t>
      </w:r>
      <w:r>
        <w:t>feuille de route 2023</w:t>
      </w:r>
      <w:r>
        <w:rPr>
          <w:rFonts w:cs="Cambria"/>
        </w:rPr>
        <w:t>–</w:t>
      </w:r>
      <w:r>
        <w:t xml:space="preserve">2026 fixait trois objectifs majeurs : 17,5 millions de touristes, 200 000 </w:t>
      </w:r>
      <w:r>
        <w:rPr>
          <w:rFonts w:cs="Cambria"/>
        </w:rPr>
        <w:t>nouveaux emplois et 120 Md DH de recettes en devises à l’horizon 2</w:t>
      </w:r>
      <w:r>
        <w:t xml:space="preserve">026. Dès 2024, le Maroc avait </w:t>
      </w:r>
      <w:r>
        <w:rPr>
          <w:rFonts w:cs="Cambria"/>
        </w:rPr>
        <w:t xml:space="preserve">accueilli 17,4 millions d’arrivées, soit quasiment la cible avec deux ans d’avance. En 2025, le </w:t>
      </w:r>
      <w:r>
        <w:t xml:space="preserve">gouvernement fait état de près de 20 millions de touristes et 138 Md DH de recettes en devises. [S18][S20] </w:t>
      </w:r>
    </w:p>
    <w:p w14:paraId="417AFBBC" w14:textId="77777777" w:rsidR="00CD748F" w:rsidRDefault="00426F7E">
      <w:pPr>
        <w:ind w:left="-5" w:right="0"/>
      </w:pPr>
      <w:r>
        <w:rPr>
          <w:rFonts w:cs="Cambria"/>
        </w:rPr>
        <w:t xml:space="preserve">L’emploi exige une lecture plus prudente. Le bilan 2025 indique la création de 90 000 nouveaux emplois et l’Observatoire du Tourisme estime les emplois directs du secteur à 894 000, soit environ </w:t>
      </w:r>
      <w:r>
        <w:t xml:space="preserve">125 000 emplois directs supplémentaires par rapport à 2019. Ces chiffres ne doivent pas être confondus avec la cible de 200 000 nouveaux emplois de la feuille de route sans vérifier le même périmètre. Le résultat touristique est donc clairement supérieur à la cible en arrivées et recettes ; la réalisation de la cible emploi reste à documenter selon une définition homogène. [S4][S20] </w:t>
      </w:r>
    </w:p>
    <w:p w14:paraId="261838E2" w14:textId="77777777" w:rsidR="00CD748F" w:rsidRDefault="00426F7E">
      <w:pPr>
        <w:spacing w:after="358" w:line="261" w:lineRule="auto"/>
        <w:ind w:left="-5" w:right="0"/>
      </w:pPr>
      <w:r>
        <w:t xml:space="preserve">Le second enjeu est la qualité du modèle. Une croissance de fréquentation peut être moins rentable </w:t>
      </w:r>
      <w:r>
        <w:rPr>
          <w:rFonts w:cs="Cambria"/>
        </w:rPr>
        <w:t>si elle augmente fortement la dépendance aux importations alimentaires, à l’énergie ou à des chaînes internationales. L’audit doit mesurer valeur ajoutée loc</w:t>
      </w:r>
      <w:r>
        <w:t xml:space="preserve">ale, recettes fiscales, saisonnalité, </w:t>
      </w:r>
      <w:r>
        <w:rPr>
          <w:rFonts w:cs="Cambria"/>
        </w:rPr>
        <w:t xml:space="preserve">taux d’occupation, durée moyenne de séjour, dépenses par visiteur, part de l’hébergement informel et répartition territoriale. Le succès de Marrakech, Casablanca et d’autres grandes </w:t>
      </w:r>
      <w:r>
        <w:t xml:space="preserve">destinations ne doit pas masquer les régions moins intégrées à la chaîne touristique. </w:t>
      </w:r>
    </w:p>
    <w:p w14:paraId="0A4B0AED" w14:textId="77777777" w:rsidR="00CD748F" w:rsidRDefault="00426F7E">
      <w:pPr>
        <w:pStyle w:val="Titre2"/>
        <w:ind w:left="-5"/>
      </w:pPr>
      <w:r>
        <w:t xml:space="preserve">XVI. ÉNERGIES RENOUVELABLES ET TRANSITION ÉNERGÉTIQUE </w:t>
      </w:r>
    </w:p>
    <w:p w14:paraId="7BEECAE2" w14:textId="77777777" w:rsidR="00CD748F" w:rsidRDefault="00426F7E">
      <w:pPr>
        <w:ind w:left="-5" w:right="0"/>
      </w:pPr>
      <w:r>
        <w:t>La transition énergétique est un autre domaine où le Maroc peut revendiquer une trajectoire réelle, mais qui doit être mesurée contre ses propres objectifs. Le ministère de la Transition énergétique présente pour 2024 une capacité renouvelable installée de 3 950 MW dans sa présentation stratégique, représentant environ 37 % de la puissance électrique installée, et environ 20 % de la production électrique. La même page présente pourtant, dans ses indicateurs détaillés 2024, 2 433 MW éoliens, 885,2 MW solaire</w:t>
      </w:r>
      <w:r>
        <w:t xml:space="preserve">s et 2 120 MW hydroélectriques, soit environ 5 438 MW. Cette différence apparente de périmètre ou de millésime doit être réconciliée. Elle constitue elle-même un point de contrôle statistique. [S10][S9] </w:t>
      </w:r>
    </w:p>
    <w:p w14:paraId="12EA476D" w14:textId="77777777" w:rsidR="00CD748F" w:rsidRDefault="00426F7E">
      <w:pPr>
        <w:ind w:left="-5" w:right="0"/>
      </w:pPr>
      <w:r>
        <w:t xml:space="preserve">Le Maroc vise plus de 52 % de renouvelables dans la puissance électrique installée à horizon 2030. Le ministère indique également un portefeuille important de projets en développement. La réussite ne doit toutefois pas être évaluée au seul nombre de mégawatts autorisés. Il faut distinguer projet autorisé, projet financé, projet en construction, projet mis en service et énergie effectivement produite. Le même principe vaut pour les investissements : un portefeuille de </w:t>
      </w:r>
      <w:r>
        <w:rPr>
          <w:rFonts w:cs="Cambria"/>
        </w:rPr>
        <w:t>dizaines de milliards n’est pas un cash flow réalisé. [S10]</w:t>
      </w:r>
      <w:r>
        <w:t xml:space="preserve"> </w:t>
      </w:r>
    </w:p>
    <w:p w14:paraId="40C2D5B9" w14:textId="77777777" w:rsidR="00CD748F" w:rsidRDefault="00426F7E">
      <w:pPr>
        <w:spacing w:after="347"/>
        <w:ind w:left="-5" w:right="0"/>
      </w:pPr>
      <w:r>
        <w:rPr>
          <w:rFonts w:cs="Cambria"/>
        </w:rPr>
        <w:t xml:space="preserve">L’autre enjeu est l’intégration au système. Les stations de dessalement doivent être reliées à une </w:t>
      </w:r>
      <w:r>
        <w:t xml:space="preserve">électricité propre et compétitive ; le développement des renouvelables impose des réseaux, du stockage, de la flexibilité et des interconnexions. La transition énergétique doit donc être auditée avec le coût complet : production + réseau + stockage + capacité de secours + coût du financement. </w:t>
      </w:r>
      <w:r>
        <w:rPr>
          <w:rFonts w:cs="Cambria"/>
        </w:rPr>
        <w:t xml:space="preserve">Si le Maroc devient un producteur d’électricité verte mais maintient une forte dépendance aux </w:t>
      </w:r>
      <w:r>
        <w:t>combustibles importés pou</w:t>
      </w:r>
      <w:r>
        <w:rPr>
          <w:rFonts w:cs="Cambria"/>
        </w:rPr>
        <w:t xml:space="preserve">r l’ajustement du système, la baisse de la dépendance énergétique sera </w:t>
      </w:r>
      <w:r>
        <w:t>plus lente que le seul nombr</w:t>
      </w:r>
      <w:r>
        <w:t xml:space="preserve">e de centrales renouvelables pourrait le laisser penser. </w:t>
      </w:r>
    </w:p>
    <w:p w14:paraId="0D8DEBBB" w14:textId="77777777" w:rsidR="00CD748F" w:rsidRDefault="00426F7E">
      <w:pPr>
        <w:pStyle w:val="Titre2"/>
        <w:spacing w:after="0" w:line="259" w:lineRule="auto"/>
        <w:ind w:left="-5"/>
      </w:pPr>
      <w:r>
        <w:t xml:space="preserve">XVII. HYDROGÈNE VERT   PIPELINE </w:t>
      </w:r>
      <w:r>
        <w:t>D’INVESTISSEMENTS ET NON ACTIFS RÉALISÉS</w:t>
      </w:r>
      <w:r>
        <w:t xml:space="preserve"> </w:t>
      </w:r>
    </w:p>
    <w:p w14:paraId="18993064" w14:textId="77777777" w:rsidR="00CD748F" w:rsidRDefault="00426F7E">
      <w:pPr>
        <w:ind w:left="-5" w:right="0"/>
      </w:pPr>
      <w:r>
        <w:rPr>
          <w:rFonts w:cs="Cambria"/>
        </w:rPr>
        <w:t xml:space="preserve">L’Offre Maroc constitue une politique stratégique cohérente avec la position géographique du </w:t>
      </w:r>
      <w:r>
        <w:t xml:space="preserve">Royaume et le potentiel solaire/éolien du sud. En mars 2025, cinq sociétés porteuses de six projets ont été sélectionnées, pour un investissement annoncé de 319 Md DH. En septembre 2025, la clôture de la phase préliminaire de Chbika 1 et des contrats préliminaires de réservation foncière pour six projets ont été annoncés. [S11][S10] </w:t>
      </w:r>
    </w:p>
    <w:p w14:paraId="47E21C6F" w14:textId="77777777" w:rsidR="00CD748F" w:rsidRDefault="00426F7E">
      <w:pPr>
        <w:spacing w:after="144" w:line="261" w:lineRule="auto"/>
        <w:ind w:left="-5" w:right="0"/>
      </w:pPr>
      <w:r>
        <w:rPr>
          <w:rFonts w:cs="Cambria"/>
        </w:rPr>
        <w:t xml:space="preserve">Ces montants sont cependant des investissements projetés, pas des dépenses exécutées. L’audit doit distinguer réservation foncière, études, décision finale d’investissement, financement, </w:t>
      </w:r>
      <w:r>
        <w:t xml:space="preserve">construction et production commerciale. Il faut également examiner la </w:t>
      </w:r>
      <w:r>
        <w:rPr>
          <w:rFonts w:cs="Cambria"/>
        </w:rPr>
        <w:t>disponibilité de l’eau dessalée, la capacité du réseau électrique et des ports, la demande réelle pour l’ammoniac vert ou l’hydrogène et la compétitivité internationale. Le risque économique principal est celui de l’annonce d’un pipeline de plusieurs cent</w:t>
      </w:r>
      <w:r>
        <w:t xml:space="preserve">aines de milliards dont le taux de conversion en actifs opérationnels resterait faible. </w:t>
      </w:r>
    </w:p>
    <w:p w14:paraId="48699954" w14:textId="77777777" w:rsidR="00CD748F" w:rsidRDefault="00426F7E">
      <w:pPr>
        <w:spacing w:after="350"/>
        <w:ind w:left="-5" w:right="0"/>
      </w:pPr>
      <w:r>
        <w:t xml:space="preserve">Le contrôle du foncier est particulièrement important. Le gouvernement affirme que la sélection vise à garantir un usage approprié du foncier public et des partenariats équilibrés. Un audit de valeur publique doit comparer la valeur du foncier affecté, les contreparties industrielles, les </w:t>
      </w:r>
      <w:r>
        <w:rPr>
          <w:rFonts w:cs="Cambria"/>
        </w:rPr>
        <w:t>emplois, la valeur ajoutée locale, l’accès à l’électricité et l’eau, ainsi que les conditions de retrait si le projet n’aboutit pas. [S11]</w:t>
      </w:r>
      <w:r>
        <w:t xml:space="preserve"> </w:t>
      </w:r>
    </w:p>
    <w:p w14:paraId="162BFE8A" w14:textId="77777777" w:rsidR="00CD748F" w:rsidRDefault="00426F7E">
      <w:pPr>
        <w:spacing w:after="0" w:line="259" w:lineRule="auto"/>
        <w:ind w:left="0" w:right="0" w:firstLine="0"/>
        <w:jc w:val="left"/>
      </w:pPr>
      <w:r>
        <w:rPr>
          <w:rFonts w:cs="Cambria"/>
          <w:b/>
          <w:color w:val="163A5F"/>
          <w:sz w:val="40"/>
        </w:rPr>
        <w:t xml:space="preserve"> </w:t>
      </w:r>
    </w:p>
    <w:p w14:paraId="30D0B180" w14:textId="77777777" w:rsidR="00CD748F" w:rsidRDefault="00426F7E">
      <w:pPr>
        <w:spacing w:after="216" w:line="259" w:lineRule="auto"/>
        <w:ind w:left="0" w:right="0" w:firstLine="0"/>
        <w:jc w:val="left"/>
      </w:pPr>
      <w:r>
        <w:rPr>
          <w:rFonts w:ascii="Calibri" w:eastAsia="Calibri" w:hAnsi="Calibri" w:cs="Calibri"/>
          <w:sz w:val="21"/>
        </w:rPr>
        <w:t xml:space="preserve"> </w:t>
      </w:r>
    </w:p>
    <w:p w14:paraId="51364C46" w14:textId="77777777" w:rsidR="00CD748F" w:rsidRDefault="00426F7E">
      <w:pPr>
        <w:spacing w:after="398" w:line="259" w:lineRule="auto"/>
        <w:ind w:left="0" w:right="0" w:firstLine="0"/>
        <w:jc w:val="left"/>
      </w:pPr>
      <w:r>
        <w:rPr>
          <w:rFonts w:ascii="Calibri" w:eastAsia="Calibri" w:hAnsi="Calibri" w:cs="Calibri"/>
          <w:sz w:val="21"/>
        </w:rPr>
        <w:t xml:space="preserve"> </w:t>
      </w:r>
    </w:p>
    <w:p w14:paraId="2B18EBED" w14:textId="77777777" w:rsidR="00CD748F" w:rsidRDefault="00426F7E">
      <w:pPr>
        <w:pStyle w:val="Titre2"/>
        <w:spacing w:after="0" w:line="259" w:lineRule="auto"/>
        <w:ind w:left="-5"/>
      </w:pPr>
      <w:r>
        <w:t xml:space="preserve">XVIII. TRANSFORMATION NUMÉRIQUE, 5G, </w:t>
      </w:r>
      <w:r>
        <w:t>NUMÉRISATION DE L’ÉTAT ET IA</w:t>
      </w:r>
      <w:r>
        <w:t xml:space="preserve"> </w:t>
      </w:r>
    </w:p>
    <w:p w14:paraId="761FBC69" w14:textId="77777777" w:rsidR="00CD748F" w:rsidRDefault="00426F7E">
      <w:pPr>
        <w:ind w:left="-5" w:right="0"/>
      </w:pPr>
      <w:r>
        <w:t xml:space="preserve">La transformation numérique représente une inflexion institutionnelle importante du mandat. La stratégie Maroc Digital 2030 a été lancée en 2024 et est structurée autour de la réforme </w:t>
      </w:r>
      <w:r>
        <w:rPr>
          <w:rFonts w:cs="Cambria"/>
        </w:rPr>
        <w:t xml:space="preserve">administrative, de l’économie numérique et de la souveraineté numérique. Le gouvernement indique que l’investissement public consacré au numérique est passé de 11 millions de DH en 2021 </w:t>
      </w:r>
      <w:r>
        <w:t xml:space="preserve">à plus de 1,7 Md DH en 2024. En 2026, plus de 600 services numériques sont annoncés et certains délais administratifs seraient passés de six jours à vingt minutes. [S12][S13] </w:t>
      </w:r>
    </w:p>
    <w:p w14:paraId="3A8BF5C4" w14:textId="77777777" w:rsidR="00CD748F" w:rsidRDefault="00426F7E">
      <w:pPr>
        <w:spacing w:after="144" w:line="261" w:lineRule="auto"/>
        <w:ind w:left="-5" w:right="0"/>
      </w:pPr>
      <w:r>
        <w:rPr>
          <w:rFonts w:cs="Cambria"/>
        </w:rPr>
        <w:t xml:space="preserve">Le déploiement d’infrastructure est également important. La première phase du Plan national pour </w:t>
      </w:r>
      <w:r>
        <w:t xml:space="preserve">le haut et très haut débit aurait couvert 10 690 zones sur 10 740 ; la seconde vise 2 000 nouvelles zones rurales en 2026. La 5G a été commercialisée à partir </w:t>
      </w:r>
      <w:r>
        <w:rPr>
          <w:rFonts w:cs="Cambria"/>
        </w:rPr>
        <w:t xml:space="preserve">de novembre 2025 ; l’ANRT comptait 3,22 millions d’utilisateurs 5G et 8 400 sites au premier trimestre 2026. La couverture numérique se rapproche donc de l’infrastructure nationale, mais l’usage effectif et le bénéfice économique </w:t>
      </w:r>
      <w:r>
        <w:t xml:space="preserve">restent à mesurer. [S14][S15][S17] </w:t>
      </w:r>
    </w:p>
    <w:p w14:paraId="26603027" w14:textId="77777777" w:rsidR="00CD748F" w:rsidRDefault="00426F7E">
      <w:pPr>
        <w:ind w:left="-5" w:right="0"/>
      </w:pPr>
      <w:r>
        <w:rPr>
          <w:rFonts w:cs="Cambria"/>
        </w:rPr>
        <w:t xml:space="preserve">Le secteur de l’externalisation emploie plus de 148 500 personnes et attire plus de 1 200 </w:t>
      </w:r>
      <w:r>
        <w:t>entreprises internationales selon le gouvernement ; plus de 800 entreprises ont été accompagnées dans le programme Maroc 300, avec un budget supérieur à 1,3 Md DH. Ces chiffres sont positifs, mais ils doivent être rapprochés de trois risques : concentration géographique, faible part de valeur ajoutée domestique dans certains services et dépendance aux commandes externes. Le numérique ne devient un moteur de croissance autonome que lorsque le Maroc développe des produits, des brevets, des logiciels, des donn</w:t>
      </w:r>
      <w:r>
        <w:t xml:space="preserve">ées et des entreprises exportatrices de propriété intellectuelle. [S13] </w:t>
      </w:r>
    </w:p>
    <w:p w14:paraId="53241ABD" w14:textId="77777777" w:rsidR="00CD748F" w:rsidRDefault="00426F7E">
      <w:pPr>
        <w:spacing w:after="358" w:line="261" w:lineRule="auto"/>
        <w:ind w:left="-5" w:right="0"/>
      </w:pPr>
      <w:r>
        <w:rPr>
          <w:rFonts w:cs="Cambria"/>
        </w:rPr>
        <w:t xml:space="preserve">Le lancement de Maroc IA 2030 en septembre 2026 fixe à l’horizon 2030 des objectifs de 100 Md </w:t>
      </w:r>
      <w:r>
        <w:t xml:space="preserve">DH de valeur ajoutée au PIB, 50 000 emplois directs et indirects et 200 000 talents formés et </w:t>
      </w:r>
      <w:r>
        <w:rPr>
          <w:rFonts w:cs="Cambria"/>
        </w:rPr>
        <w:t xml:space="preserve">certifiés. Il s’agit d’une stratégie future, non d’un résultat du mandat. L’audit doit donc créer dès maintenant les compteurs : contrats d’IA signés, valeur ajoutée domestique, consommation de </w:t>
      </w:r>
      <w:r>
        <w:t xml:space="preserve">calcul, centres de données, emplois qualifiés, chercheurs, startups survivantes, dépenses de R&amp;D et incidents de cybersécurité. [S16] </w:t>
      </w:r>
    </w:p>
    <w:p w14:paraId="2B22A4F2" w14:textId="77777777" w:rsidR="00CD748F" w:rsidRDefault="00426F7E">
      <w:pPr>
        <w:pStyle w:val="Titre2"/>
        <w:spacing w:after="0" w:line="259" w:lineRule="auto"/>
        <w:ind w:left="-5"/>
      </w:pPr>
      <w:r>
        <w:t xml:space="preserve">XIX. INDUSTRIE, INVESTISSEMENT ET CHARTE DE </w:t>
      </w:r>
      <w:r>
        <w:t>L’INVESTISSEMENT</w:t>
      </w:r>
      <w:r>
        <w:t xml:space="preserve"> </w:t>
      </w:r>
    </w:p>
    <w:p w14:paraId="6B1E9B0C" w14:textId="77777777" w:rsidR="00CD748F" w:rsidRDefault="00426F7E">
      <w:pPr>
        <w:ind w:left="-5" w:right="0"/>
      </w:pPr>
      <w:r>
        <w:t xml:space="preserve">Le gouvernement met en avant plusieurs centaines de projets approuvés dans le cadre de la Charte </w:t>
      </w:r>
      <w:r>
        <w:rPr>
          <w:rFonts w:cs="Cambria"/>
        </w:rPr>
        <w:t xml:space="preserve">de l’investissement. En juin 2026, 381 projets sont présentés pour environ 580 Md DH et plus de </w:t>
      </w:r>
      <w:r>
        <w:t>245 000 emplois attendus. Ces chiffres constituent un portefeui</w:t>
      </w:r>
      <w:r>
        <w:rPr>
          <w:rFonts w:cs="Cambria"/>
        </w:rPr>
        <w:t xml:space="preserve">lle d’investissement et non un </w:t>
      </w:r>
      <w:r>
        <w:t xml:space="preserve">montant déjà investi. Le contrôle doit calculer le taux de conversion des approbations en financement clos, chantiers, mise en service et emplois à 12/24/36 mois. [S6][S30] </w:t>
      </w:r>
    </w:p>
    <w:p w14:paraId="102F11F9" w14:textId="77777777" w:rsidR="00CD748F" w:rsidRDefault="00426F7E">
      <w:pPr>
        <w:spacing w:after="144" w:line="261" w:lineRule="auto"/>
        <w:ind w:left="-5" w:right="0"/>
      </w:pPr>
      <w:r>
        <w:rPr>
          <w:rFonts w:cs="Cambria"/>
        </w:rPr>
        <w:t xml:space="preserve">L’enjeu dépasse la volumétrie. Une politique d’investissement public peut réussir à attirer un projet sans maximiser la valeur ajoutée locale. Il faut donc mesurer taux d’intégration, </w:t>
      </w:r>
      <w:r>
        <w:t xml:space="preserve">exportations, achats locaux, salaires, fiscalité, transfert technologique et durée de vie des emplois. </w:t>
      </w:r>
      <w:r>
        <w:rPr>
          <w:rFonts w:cs="Cambria"/>
        </w:rPr>
        <w:t xml:space="preserve">Le risque est de piloter l’investissement par le nombre de milliards annoncés, alors que les critères </w:t>
      </w:r>
      <w:r>
        <w:t xml:space="preserve">de développement sont la productivité et les externalités domestiques. La charte doit être évaluée projet par projet et non uniquement par son portefeuille. </w:t>
      </w:r>
    </w:p>
    <w:p w14:paraId="78D1459C" w14:textId="77777777" w:rsidR="00CD748F" w:rsidRDefault="00426F7E">
      <w:pPr>
        <w:pStyle w:val="Titre2"/>
        <w:spacing w:after="0" w:line="259" w:lineRule="auto"/>
        <w:ind w:left="-5"/>
      </w:pPr>
      <w:r>
        <w:t xml:space="preserve">XX. HYDROCARBURES, CONCURRENCE ET </w:t>
      </w:r>
      <w:r>
        <w:t>TRANSMISSION DE L’INFLATION</w:t>
      </w:r>
      <w:r>
        <w:t xml:space="preserve"> </w:t>
      </w:r>
    </w:p>
    <w:p w14:paraId="0F686ECE" w14:textId="77777777" w:rsidR="00CD748F" w:rsidRDefault="00426F7E">
      <w:pPr>
        <w:ind w:left="-5" w:right="0"/>
      </w:pPr>
      <w:r>
        <w:t xml:space="preserve">Le marché des hydrocarbures est particulièrement sensible parce que le prix du carburant se </w:t>
      </w:r>
      <w:r>
        <w:rPr>
          <w:rFonts w:cs="Cambria"/>
        </w:rPr>
        <w:t xml:space="preserve">diffuse dans presque toute l’économie. Le Conseil de la concurrence a validé en 2023 des accords </w:t>
      </w:r>
      <w:r>
        <w:t xml:space="preserve">transactionnels représentant 1,84 Md DH pour les entreprises concernées. Le dossier établit un problème concurrentiel suffisamment sérieux pour avoir justifié une procédure et des engagements. Il ne permet cependant pas de conclure que le gouvernement a organisé une entente : le problème concurrentiel du secteur dépasse chronologiquement le seul mandat. [S3] </w:t>
      </w:r>
    </w:p>
    <w:p w14:paraId="346F955A" w14:textId="77777777" w:rsidR="00CD748F" w:rsidRDefault="00426F7E">
      <w:pPr>
        <w:spacing w:after="347"/>
        <w:ind w:left="-5" w:right="0"/>
      </w:pPr>
      <w:r>
        <w:t xml:space="preserve">Pour 2024, les éléments du Conseil de la concurrence repris dans le V3E font apparaître une marge nette moyenne proche de 2,9 % pour le périmètre suivi, contre environ 0,6 % en 2022 et -0,5 % en 2023. Le résultat net agrégé est présenté autour de 2,3 Md DH et les investissements à environ 1,3 </w:t>
      </w:r>
      <w:r>
        <w:rPr>
          <w:rFonts w:cs="Cambria"/>
        </w:rPr>
        <w:t xml:space="preserve">Md DH. L’audit économique doit reconstituer le prix théorique : coût international, change, transport, stockage, fiscalité, distribution et marge. La question n’est pas de dire qu’une marge est </w:t>
      </w:r>
      <w:r>
        <w:t xml:space="preserve">illégitime, mais de déterminer si la concurrence produit un résultat raisonnable pour le consommateur. [F3][S3] </w:t>
      </w:r>
    </w:p>
    <w:p w14:paraId="37C1603C" w14:textId="77777777" w:rsidR="00CD748F" w:rsidRDefault="00426F7E">
      <w:pPr>
        <w:pStyle w:val="Titre2"/>
        <w:ind w:left="-5"/>
      </w:pPr>
      <w:r>
        <w:t xml:space="preserve">XXI. FISCALITÉ, DÉPENSES FISCALES ET COMPENSATION </w:t>
      </w:r>
    </w:p>
    <w:p w14:paraId="10959CAA" w14:textId="77777777" w:rsidR="00CD748F" w:rsidRDefault="00426F7E">
      <w:pPr>
        <w:ind w:left="-5" w:right="0"/>
      </w:pPr>
      <w:r>
        <w:t>La réforme fiscale 2021</w:t>
      </w:r>
      <w:r>
        <w:rPr>
          <w:rFonts w:cs="Cambria"/>
        </w:rPr>
        <w:t>–</w:t>
      </w:r>
      <w:r>
        <w:t xml:space="preserve">2026 doit être appréciée sur trois axes : mobilisation des recettes, équité </w:t>
      </w:r>
      <w:r>
        <w:rPr>
          <w:rFonts w:cs="Cambria"/>
        </w:rPr>
        <w:t>et simplicité. La réforme de la TVA a été mise en œuvre progressivement sur 2024–</w:t>
      </w:r>
      <w:r>
        <w:t xml:space="preserve">2026. En 2025, les dépenses fiscales recensées atteignent 32,015 Md DH contre 31,493 Md DH en 2024. La TVA </w:t>
      </w:r>
      <w:r>
        <w:rPr>
          <w:rFonts w:cs="Cambria"/>
        </w:rPr>
        <w:t xml:space="preserve">représente 16,339 Md DH, soit 51 % des dépenses fiscales 2025 ; l’IR 4,896 Md DH et l’IS 2,737 Md </w:t>
      </w:r>
      <w:r>
        <w:t xml:space="preserve">DH. [S28][S29] </w:t>
      </w:r>
    </w:p>
    <w:p w14:paraId="56A7E871" w14:textId="77777777" w:rsidR="00CD748F" w:rsidRDefault="00426F7E">
      <w:pPr>
        <w:spacing w:after="144" w:line="261" w:lineRule="auto"/>
        <w:ind w:left="-5" w:right="0"/>
      </w:pPr>
      <w:r>
        <w:rPr>
          <w:rFonts w:cs="Cambria"/>
        </w:rPr>
        <w:t>Une dépense fiscale est économiquement un transfert implicite : l’État renonce à une recette pour produire un effet de politique publique. La question d’audit est donc la même que pour une subvention : quelle contrepartie ? Combien d’emplois, combien d’inv</w:t>
      </w:r>
      <w:r>
        <w:t xml:space="preserve">estissement supplémentaire, quelle baisse de prix, quelle formalisation ? Une dépense fiscale non évaluée peut être moins </w:t>
      </w:r>
      <w:r>
        <w:rPr>
          <w:rFonts w:cs="Cambria"/>
        </w:rPr>
        <w:t xml:space="preserve">transparente qu’une dépense budgétaire directe parce qu’elle apparaît comme une recette non </w:t>
      </w:r>
      <w:r>
        <w:t>perçue et non comme une dépense. Le fait q</w:t>
      </w:r>
      <w:r>
        <w:rPr>
          <w:rFonts w:cs="Cambria"/>
        </w:rPr>
        <w:t xml:space="preserve">ue 236 mesures sur 274 recensées aient fait l’objet d’une évaluation en 2025 est positif, mais il faut publier leur impact ex post et non uniquement </w:t>
      </w:r>
      <w:r>
        <w:t xml:space="preserve">leur coût. </w:t>
      </w:r>
    </w:p>
    <w:p w14:paraId="028D2A38" w14:textId="77777777" w:rsidR="00CD748F" w:rsidRDefault="00426F7E">
      <w:pPr>
        <w:spacing w:after="144" w:line="261" w:lineRule="auto"/>
        <w:ind w:left="-5" w:right="0"/>
      </w:pPr>
      <w:r>
        <w:t xml:space="preserve">La compensation et les aides aux prix doivent être analysées avec le même principe. Les dépenses </w:t>
      </w:r>
      <w:r>
        <w:rPr>
          <w:rFonts w:cs="Cambria"/>
        </w:rPr>
        <w:t>communes de soutien aux prix et mesures d’accompagnement ont atteint environ 24,5 Md DH en 2024, dont 22,7 Md DH associés à la Caisse de compensation et à l’ON</w:t>
      </w:r>
      <w:r>
        <w:t xml:space="preserve">ICL selon la Cour. Le transfert </w:t>
      </w:r>
      <w:r>
        <w:rPr>
          <w:rFonts w:cs="Cambria"/>
        </w:rPr>
        <w:t xml:space="preserve">vers l’aide directe modifie la logique de redistribution, mais l’efficacité doit se mesurer par ménage, par décile et par produit. L’objectif n’est pas de réduire mécaniquement la dépense de compensation ; l’objectif est de </w:t>
      </w:r>
      <w:r>
        <w:t xml:space="preserve">maximiser le soutien réel aux ménages vulnérables avec le moins de perte par intermédiaire. </w:t>
      </w:r>
    </w:p>
    <w:p w14:paraId="7C9960C9" w14:textId="77777777" w:rsidR="00CD748F" w:rsidRDefault="00426F7E">
      <w:pPr>
        <w:pStyle w:val="Titre2"/>
        <w:spacing w:after="0" w:line="259" w:lineRule="auto"/>
        <w:ind w:left="-5"/>
      </w:pPr>
      <w:r>
        <w:t xml:space="preserve">XXII. ÉTABLISSEMENTS ET ENTREPRISES PUBLICS, </w:t>
      </w:r>
      <w:r>
        <w:t>PPP ET GESTION DU PATRIMOINE DE L’ÉTAT</w:t>
      </w:r>
      <w:r>
        <w:t xml:space="preserve"> </w:t>
      </w:r>
    </w:p>
    <w:p w14:paraId="2322F2F0" w14:textId="77777777" w:rsidR="00CD748F" w:rsidRDefault="00426F7E">
      <w:pPr>
        <w:ind w:left="-5" w:right="0"/>
      </w:pPr>
      <w:r>
        <w:t xml:space="preserve">La réforme des établissements et entreprises publics a été engagée avec la loi-cadre 50-21 et la </w:t>
      </w:r>
      <w:r>
        <w:rPr>
          <w:rFonts w:cs="Cambria"/>
        </w:rPr>
        <w:t xml:space="preserve">création de l’ANGSPE. La Cour des comptes avait identifié des dysfonctionnements structurels qui </w:t>
      </w:r>
      <w:r>
        <w:t xml:space="preserve">justifiaient une nouvelle politique actionnariale. La réforme vise notamment la rationalisation du </w:t>
      </w:r>
      <w:r>
        <w:rPr>
          <w:rFonts w:cs="Cambria"/>
        </w:rPr>
        <w:t xml:space="preserve">portefeuille, l’amélioration de la gouvernance et, pour certains établissements, la transformation </w:t>
      </w:r>
      <w:r>
        <w:t xml:space="preserve">en sociétés anonymes. [S2][S32] </w:t>
      </w:r>
    </w:p>
    <w:p w14:paraId="0ECEAB98" w14:textId="77777777" w:rsidR="00CD748F" w:rsidRDefault="00426F7E">
      <w:pPr>
        <w:spacing w:after="358" w:line="261" w:lineRule="auto"/>
        <w:ind w:left="-5" w:right="0"/>
      </w:pPr>
      <w:r>
        <w:rPr>
          <w:rFonts w:cs="Cambria"/>
        </w:rPr>
        <w:t xml:space="preserve">L’audit du portefeuille public ne doit pas se limiter aux bénéfices comptables. Il faut consolider : transferts budgétaires, dividendes versés à l’État, dette garantie, subventions, investissements, </w:t>
      </w:r>
      <w:r>
        <w:t xml:space="preserve">tarifs, qualité de service et risques contingents. Une entreprise publique peut être déficitaire tout </w:t>
      </w:r>
      <w:r>
        <w:rPr>
          <w:rFonts w:cs="Cambria"/>
        </w:rPr>
        <w:t xml:space="preserve">en remplissant une mission d’intérêt général ; inversement, une entreprise bénéficiaire peut </w:t>
      </w:r>
      <w:r>
        <w:t xml:space="preserve">générer une faible valeur publique si ses investissements sont sous-optimaux. Le critère est donc la performance ajustée de mission. </w:t>
      </w:r>
    </w:p>
    <w:p w14:paraId="2999A7DC" w14:textId="77777777" w:rsidR="00CD748F" w:rsidRDefault="00426F7E">
      <w:pPr>
        <w:pStyle w:val="Titre2"/>
        <w:ind w:left="-5"/>
      </w:pPr>
      <w:r>
        <w:t xml:space="preserve">XXIII. FONCIER PUBLIC ET CAS « LYCÉE OCÉAN » </w:t>
      </w:r>
    </w:p>
    <w:p w14:paraId="06C95AE6" w14:textId="77777777" w:rsidR="00CD748F" w:rsidRDefault="00426F7E">
      <w:pPr>
        <w:spacing w:after="144" w:line="261" w:lineRule="auto"/>
        <w:ind w:left="-5" w:right="0"/>
      </w:pPr>
      <w:r>
        <w:rPr>
          <w:rFonts w:cs="Cambria"/>
        </w:rPr>
        <w:t xml:space="preserve">La controverse autour de l’ancien établissement du quartier Océan à Rabat doit être conservée dans le rapport parce qu’elle pose une question légitime de gouvernance patrimoniale. La question </w:t>
      </w:r>
      <w:r>
        <w:t xml:space="preserve">parlementaire n°21245 a demandé si le terrain avait été cédé à un promoteur privé pour la </w:t>
      </w:r>
      <w:r>
        <w:rPr>
          <w:rFonts w:cs="Cambria"/>
        </w:rPr>
        <w:t>construction d’un centre commercial. La réponse ministérielle publique indique au contraire que l’établissement avait été fermé pour faible effectif et que le terrain avait été mis à disposition de l’Académie Royale du Maroc depui</w:t>
      </w:r>
      <w:r>
        <w:t xml:space="preserve">s 2019. [S35][S36] </w:t>
      </w:r>
    </w:p>
    <w:p w14:paraId="75B0D0F7" w14:textId="77777777" w:rsidR="00CD748F" w:rsidRDefault="00426F7E">
      <w:pPr>
        <w:spacing w:after="373" w:line="261" w:lineRule="auto"/>
        <w:ind w:left="-5" w:right="0"/>
      </w:pPr>
      <w:r>
        <w:t xml:space="preserve">Le contrôle ne peut donc pas retenir comme fait établi une « vente au promoteur privé ». En </w:t>
      </w:r>
      <w:r>
        <w:rPr>
          <w:rFonts w:cs="Cambria"/>
        </w:rPr>
        <w:t xml:space="preserve">revanche, l’affaire justifie un audit plus large du patrimoine foncier public de l’Éducation nationale </w:t>
      </w:r>
      <w:r>
        <w:t xml:space="preserve">: qui est propriétaire, quel est le statut juridique, quelle est la valeur vénale, quelle décision a </w:t>
      </w:r>
      <w:r>
        <w:rPr>
          <w:rFonts w:cs="Cambria"/>
        </w:rPr>
        <w:t xml:space="preserve">autorisé le changement d’affectation, quelle contrepartie existe et quel est l’usage final ? L’important n’est pas de confirmer une rumeur particulière mais de rendre impossible, à l’avenir, </w:t>
      </w:r>
      <w:r>
        <w:t>toute controverse similai</w:t>
      </w:r>
      <w:r>
        <w:rPr>
          <w:rFonts w:cs="Cambria"/>
        </w:rPr>
        <w:t>re faute de publication des actes d’affectation.</w:t>
      </w:r>
      <w:r>
        <w:t xml:space="preserve"> </w:t>
      </w:r>
    </w:p>
    <w:p w14:paraId="1B4D8267" w14:textId="77777777" w:rsidR="00CD748F" w:rsidRDefault="00426F7E">
      <w:pPr>
        <w:pStyle w:val="Titre2"/>
        <w:ind w:left="-5"/>
      </w:pPr>
      <w:r>
        <w:t xml:space="preserve">XXIV. </w:t>
      </w:r>
      <w:r>
        <w:tab/>
        <w:t xml:space="preserve">TRANSPORT, </w:t>
      </w:r>
      <w:r>
        <w:tab/>
        <w:t xml:space="preserve">CONNECTIVITÉ </w:t>
      </w:r>
      <w:r>
        <w:tab/>
        <w:t xml:space="preserve">ET INFRASTRUCTURES </w:t>
      </w:r>
    </w:p>
    <w:p w14:paraId="079067D6" w14:textId="77777777" w:rsidR="00CD748F" w:rsidRDefault="00426F7E">
      <w:pPr>
        <w:spacing w:after="0"/>
        <w:ind w:left="-5" w:right="0"/>
      </w:pPr>
      <w:r>
        <w:rPr>
          <w:rFonts w:cs="Cambria"/>
        </w:rPr>
        <w:t xml:space="preserve">Le mandat s’est inscrit dans une phase d’accélération des infrastructures, notamment à l’approche </w:t>
      </w:r>
      <w:r>
        <w:t>des grands événements internationaux. Plus de 78 Md DH sont annoncés pour le transport public propre, moderne et multimodal à horizon 2029, dont 11 Md DH pour 3 750 bus et 67 Md DH pour transports en sites propres. Un protocole Gouvernement</w:t>
      </w:r>
      <w:r>
        <w:rPr>
          <w:rFonts w:cs="Cambria"/>
        </w:rPr>
        <w:t>–</w:t>
      </w:r>
      <w:r>
        <w:t>ONDA 2025</w:t>
      </w:r>
      <w:r>
        <w:rPr>
          <w:rFonts w:cs="Cambria"/>
        </w:rPr>
        <w:t>–</w:t>
      </w:r>
      <w:r>
        <w:t xml:space="preserve">2030 porte par ailleurs sur </w:t>
      </w:r>
    </w:p>
    <w:p w14:paraId="49EC3BFB" w14:textId="77777777" w:rsidR="00CD748F" w:rsidRDefault="00426F7E">
      <w:pPr>
        <w:ind w:left="-5" w:right="0"/>
      </w:pPr>
      <w:r>
        <w:t xml:space="preserve">38 Md DH, dont 25 Md DH pour des extensions et nouvelles infrastructures aéroportuaires et 13 Md DH pour maintenance, modernisation et foncier. [S40][S41] </w:t>
      </w:r>
    </w:p>
    <w:p w14:paraId="06C5F1B7" w14:textId="77777777" w:rsidR="00CD748F" w:rsidRDefault="00426F7E">
      <w:pPr>
        <w:spacing w:after="346"/>
        <w:ind w:left="-5" w:right="0"/>
      </w:pPr>
      <w:r>
        <w:rPr>
          <w:rFonts w:cs="Cambria"/>
        </w:rPr>
        <w:t xml:space="preserve">Ces montants constituent un effort massif mais doivent être traduits en indicateurs d’usage : temps </w:t>
      </w:r>
      <w:r>
        <w:t xml:space="preserve">gagné, coût du transport par ménage, fréquentation, régularité, sécurité, émissions, couverture territoriale et productivité logistique. Le risque est particulièrement élevé lorsque les infrastructures visibles sont évaluées avant leur mise en service ou avant que les usagers aient </w:t>
      </w:r>
      <w:r>
        <w:rPr>
          <w:rFonts w:cs="Cambria"/>
        </w:rPr>
        <w:t>modifié leur comportement. Le même principe s’applique aux autoroutes</w:t>
      </w:r>
      <w:r>
        <w:t xml:space="preserve">, gares, aéroports et transports urbains : un ouvrage inauguré est un output ; une baisse durable du coût de mobilité </w:t>
      </w:r>
      <w:r>
        <w:rPr>
          <w:rFonts w:cs="Cambria"/>
        </w:rPr>
        <w:t>est l’outcome.</w:t>
      </w:r>
      <w:r>
        <w:t xml:space="preserve"> </w:t>
      </w:r>
    </w:p>
    <w:p w14:paraId="72D6B1AD" w14:textId="77777777" w:rsidR="00CD748F" w:rsidRDefault="00426F7E">
      <w:pPr>
        <w:pStyle w:val="Titre2"/>
        <w:ind w:left="-5"/>
      </w:pPr>
      <w:r>
        <w:t xml:space="preserve">XXV. COMMERCE EXTÉRIEUR, TOURISME, MRE ET CAPACITÉ À FINANCER LE MODÈLE </w:t>
      </w:r>
    </w:p>
    <w:p w14:paraId="316B1C88" w14:textId="77777777" w:rsidR="00CD748F" w:rsidRDefault="00426F7E">
      <w:pPr>
        <w:ind w:left="-5" w:right="0"/>
      </w:pPr>
      <w:r>
        <w:t xml:space="preserve">Le Maroc a renforcé plusieurs sources de devises durant le mandat : tourisme, services, transferts des MRE et investissements directs. En 2025, les recettes voyages ont atteint 138,1 Md DH, les </w:t>
      </w:r>
      <w:r>
        <w:rPr>
          <w:rFonts w:cs="Cambria"/>
        </w:rPr>
        <w:t>transferts MRE 122,0 Md DH et l’excédent de la balance des ser</w:t>
      </w:r>
      <w:r>
        <w:t xml:space="preserve">vices 159,7 Md DH. Dans le même temps, les importations de marchandises ont atteint 822,2 Md DH pour 469,1 Md DH </w:t>
      </w:r>
      <w:r>
        <w:rPr>
          <w:rFonts w:cs="Cambria"/>
        </w:rPr>
        <w:t>d’exportations, soit un déficit commercial de 353,1 Md DH, en hausse de 15,8 %. [S30][S6]</w:t>
      </w:r>
      <w:r>
        <w:t xml:space="preserve"> </w:t>
      </w:r>
    </w:p>
    <w:p w14:paraId="7532496C" w14:textId="77777777" w:rsidR="00CD748F" w:rsidRDefault="00426F7E">
      <w:pPr>
        <w:spacing w:after="358" w:line="261" w:lineRule="auto"/>
        <w:ind w:left="-5" w:right="0"/>
      </w:pPr>
      <w:r>
        <w:t xml:space="preserve">Le modèle extérieur est donc robuste sur les services mais demeure importateur net de </w:t>
      </w:r>
      <w:r>
        <w:rPr>
          <w:rFonts w:cs="Cambria"/>
        </w:rPr>
        <w:t xml:space="preserve">marchandises. La politique industrielle et d’investissement doit être jugée par sa capacité à </w:t>
      </w:r>
      <w:r>
        <w:t xml:space="preserve">produire plus de valeur exportable au Maroc et à réduire la dépendance aux intrants importés. Il </w:t>
      </w:r>
      <w:r>
        <w:rPr>
          <w:rFonts w:cs="Cambria"/>
        </w:rPr>
        <w:t xml:space="preserve">ne suffit pas de créer une usine exportatrice si l’essentiel de la valeur ajoutée est importé. L’indicateur de contrôle est la valeur ajoutée domestique par dirham d’exportation et non la seule </w:t>
      </w:r>
      <w:r>
        <w:t xml:space="preserve">valeur brute exportée. </w:t>
      </w:r>
    </w:p>
    <w:p w14:paraId="2537A108" w14:textId="77777777" w:rsidR="00CD748F" w:rsidRDefault="00426F7E">
      <w:pPr>
        <w:pStyle w:val="Titre2"/>
        <w:ind w:left="-5"/>
      </w:pPr>
      <w:r>
        <w:t xml:space="preserve">XXVI. TOURISME, CULTURE, ARTISANAT ET DÉVELOPPEMENT TERRITORIAL </w:t>
      </w:r>
    </w:p>
    <w:p w14:paraId="62297FDA" w14:textId="77777777" w:rsidR="00CD748F" w:rsidRDefault="00426F7E">
      <w:pPr>
        <w:ind w:left="-5" w:right="0"/>
      </w:pPr>
      <w:r>
        <w:t xml:space="preserve">Le tourisme mérite également une lecture territoriale. Les nuitées montrent une forte concentration sur Marrakech-Safi, Casablanca-Settat et Tanger-Tétouan-Al Hoceima, avec des progressions régionales inégales. La réussite du secteur doit donc être reliée au développement </w:t>
      </w:r>
      <w:r>
        <w:rPr>
          <w:rFonts w:cs="Cambria"/>
        </w:rPr>
        <w:t xml:space="preserve">local, à la qualité des infrastructures, à l’emploi féminin, à l’artisanat et aux petites entreprises. La feuille de route touristique introduit une logique d’expérience et de diversification, ce qui est </w:t>
      </w:r>
      <w:r>
        <w:t xml:space="preserve">cohérent avec cette nécessité. [S4][S5] </w:t>
      </w:r>
    </w:p>
    <w:p w14:paraId="6D1AC721" w14:textId="77777777" w:rsidR="00CD748F" w:rsidRDefault="00426F7E">
      <w:pPr>
        <w:spacing w:after="355" w:line="261" w:lineRule="auto"/>
        <w:ind w:left="-5" w:right="0"/>
      </w:pPr>
      <w:r>
        <w:t xml:space="preserve">Le principal risque est que la croissance se concentre sur les destinations déjà très attractives. </w:t>
      </w:r>
      <w:r>
        <w:rPr>
          <w:rFonts w:cs="Cambria"/>
        </w:rPr>
        <w:t xml:space="preserve">L’audit devra donc apprécier le nombre d’emplois créés hors des grands pôles, la montée des capacités dans les régions émergentes, la connexion aérienne, l’accès à l’eau et la gestion des </w:t>
      </w:r>
      <w:r>
        <w:t xml:space="preserve">déchets. Le tourisme est une réussite nationale, mais son potentiel de politique de développement </w:t>
      </w:r>
      <w:r>
        <w:rPr>
          <w:rFonts w:cs="Cambria"/>
        </w:rPr>
        <w:t>est plus grand s’il devient un mécanisme de diffusion de revenu vers les régions.</w:t>
      </w:r>
      <w:r>
        <w:t xml:space="preserve"> </w:t>
      </w:r>
    </w:p>
    <w:p w14:paraId="37561D46" w14:textId="77777777" w:rsidR="00CD748F" w:rsidRDefault="00426F7E">
      <w:pPr>
        <w:pStyle w:val="Titre2"/>
        <w:ind w:left="-5"/>
      </w:pPr>
      <w:r>
        <w:t xml:space="preserve">XXVII. DIPLOMATIE ÉCONOMIQUE ET POSITIONNEMENT INTERNATIONAL </w:t>
      </w:r>
    </w:p>
    <w:p w14:paraId="7DADC9A3" w14:textId="77777777" w:rsidR="00CD748F" w:rsidRDefault="00426F7E">
      <w:pPr>
        <w:ind w:left="-5" w:right="0"/>
      </w:pPr>
      <w:r>
        <w:t xml:space="preserve">Le bilan diplomatique doit être distingué de la politique étrangère régalienne. Il serait incorrect </w:t>
      </w:r>
      <w:r>
        <w:rPr>
          <w:rFonts w:cs="Cambria"/>
        </w:rPr>
        <w:t xml:space="preserve">d’attribuer mécaniquement au seul gouvernement les grandes décisions stratégiques du Royaume. </w:t>
      </w:r>
    </w:p>
    <w:p w14:paraId="0F1D6FCC" w14:textId="77777777" w:rsidR="00CD748F" w:rsidRDefault="00426F7E">
      <w:pPr>
        <w:spacing w:after="144" w:line="261" w:lineRule="auto"/>
        <w:ind w:left="-5" w:right="0"/>
      </w:pPr>
      <w:r>
        <w:rPr>
          <w:rFonts w:cs="Cambria"/>
        </w:rPr>
        <w:t xml:space="preserve">En revanche, l’exécutif est responsable de la diplomatie économique : commerce, attraction d’IDE, coopération sectorielle, accompagnement des entreprises à l’étranger et mise en œuvre </w:t>
      </w:r>
      <w:r>
        <w:t xml:space="preserve">économique des partenariats internationaux. </w:t>
      </w:r>
    </w:p>
    <w:p w14:paraId="7756A911" w14:textId="77777777" w:rsidR="00CD748F" w:rsidRDefault="00426F7E">
      <w:pPr>
        <w:spacing w:after="144" w:line="261" w:lineRule="auto"/>
        <w:ind w:left="-5" w:right="0"/>
      </w:pPr>
      <w:r>
        <w:t>Le Maroc a poursuivi le projet de gazoduc Maroc</w:t>
      </w:r>
      <w:r>
        <w:rPr>
          <w:rFonts w:cs="Cambria"/>
        </w:rPr>
        <w:t>–Nigeria, l’Initiative Afrique Atlantique et l’initiative visant à faciliter l’accès des États du Sahel à l’Océan Atlantique. Ces projets restent principalement stratégiques et de long terme. L’audit doit mesu</w:t>
      </w:r>
      <w:r>
        <w:t xml:space="preserve">rer leur conversion économique : financement sécurisé, études achevées, contrats, construction, emplois, trafic et effets sur la </w:t>
      </w:r>
      <w:r>
        <w:rPr>
          <w:rFonts w:cs="Cambria"/>
        </w:rPr>
        <w:t xml:space="preserve">balance des paiements. Il ne serait pas sérieux de qualifier un projet d’« échec » au motif qu’il n’a </w:t>
      </w:r>
      <w:r>
        <w:t>pas encore produit son ré</w:t>
      </w:r>
      <w:r>
        <w:rPr>
          <w:rFonts w:cs="Cambria"/>
        </w:rPr>
        <w:t>sultat final lorsqu’il est conçu sur un horizon</w:t>
      </w:r>
      <w:r>
        <w:rPr>
          <w:rFonts w:cs="Cambria"/>
        </w:rPr>
        <w:t xml:space="preserve"> pluriannuel. [S42][S43]</w:t>
      </w:r>
      <w:r>
        <w:t xml:space="preserve"> </w:t>
      </w:r>
    </w:p>
    <w:p w14:paraId="52A0E7B6" w14:textId="77777777" w:rsidR="00CD748F" w:rsidRDefault="00426F7E">
      <w:pPr>
        <w:spacing w:after="350"/>
        <w:ind w:left="-5" w:right="0"/>
      </w:pPr>
      <w:r>
        <w:t xml:space="preserve">Le vrai test du gouvernement est donc celui de la diplomatie économique : quelle part des accords </w:t>
      </w:r>
      <w:r>
        <w:rPr>
          <w:rFonts w:cs="Cambria"/>
        </w:rPr>
        <w:t xml:space="preserve">internationaux s’est traduite en investissements réellement réalisés, en exportations </w:t>
      </w:r>
      <w:r>
        <w:t xml:space="preserve">supplémentaires ou en chaînes de valeur locales ? Cette mesure est rarement publiée sous une forme consolidée. Une matrice annuelle par partenaire permettrait pourtant de la produire. </w:t>
      </w:r>
    </w:p>
    <w:p w14:paraId="01E61899" w14:textId="77777777" w:rsidR="00CD748F" w:rsidRDefault="00426F7E">
      <w:pPr>
        <w:pStyle w:val="Titre2"/>
        <w:ind w:left="-5"/>
      </w:pPr>
      <w:r>
        <w:t xml:space="preserve">XXVIII. GEN Z, CONTESTATION SOCIALE ET CAPITAL DE CONFIANCE </w:t>
      </w:r>
    </w:p>
    <w:p w14:paraId="734A5323" w14:textId="77777777" w:rsidR="00CD748F" w:rsidRDefault="00426F7E">
      <w:pPr>
        <w:ind w:left="-5" w:right="0"/>
      </w:pPr>
      <w:r>
        <w:t>Les manifestations de septembre</w:t>
      </w:r>
      <w:r>
        <w:rPr>
          <w:rFonts w:cs="Cambria"/>
        </w:rPr>
        <w:t>–</w:t>
      </w:r>
      <w:r>
        <w:t xml:space="preserve">octobre 2025 ont constitué un indicateur politique que les comptes nationaux ne peuvent pas capter. Le mouvement GenZ212 a mis en avant la santé, </w:t>
      </w:r>
      <w:r>
        <w:rPr>
          <w:rFonts w:cs="Cambria"/>
        </w:rPr>
        <w:t xml:space="preserve">l’éducation, l’emploi et la lutte contre la corruption. Reuters et AP ont documenté l’extension du mouvement à plusieurs villes, dans un contexte de chômage élevé des jeunes et de perception d’un </w:t>
      </w:r>
      <w:r>
        <w:t xml:space="preserve">décalage entre grands investissements visibles et qualité des services publics. [S31][S32][S44] </w:t>
      </w:r>
    </w:p>
    <w:p w14:paraId="05645058" w14:textId="77777777" w:rsidR="00CD748F" w:rsidRDefault="00426F7E">
      <w:pPr>
        <w:spacing w:after="350"/>
        <w:ind w:left="-5" w:right="0"/>
      </w:pPr>
      <w:r>
        <w:rPr>
          <w:rFonts w:cs="Cambria"/>
        </w:rPr>
        <w:t xml:space="preserve">Un audit ne doit pas prendre les slogans d’un mouvement comme preuve factuelle de chaque </w:t>
      </w:r>
      <w:r>
        <w:t>accusation. Mais il doit analyser leur correspondance avec les indicateurs publics. Sur ce point, une partie des griefs rejoignait des anomalies déjà objectivées : chômage des jeunes à 37,2 %, activité féminine faible, PISA hors top 60, sous-</w:t>
      </w:r>
      <w:r>
        <w:rPr>
          <w:rFonts w:cs="Cambria"/>
        </w:rPr>
        <w:t xml:space="preserve">exécution d’investissements santé et éducation, lenteur dans la mise en œuvre de recommandations. La contestation constitue donc un signal de cohérence </w:t>
      </w:r>
      <w:r>
        <w:t>entre perception et certaines données structurelles, sans pour autant transformer les revendications politiques en con</w:t>
      </w:r>
      <w:r>
        <w:t xml:space="preserve">stat judiciaire. </w:t>
      </w:r>
    </w:p>
    <w:p w14:paraId="746AF64A" w14:textId="77777777" w:rsidR="00CD748F" w:rsidRDefault="00426F7E">
      <w:pPr>
        <w:pStyle w:val="Titre2"/>
        <w:ind w:left="-5"/>
      </w:pPr>
      <w:r>
        <w:t xml:space="preserve">XXIX. DISPARITÉS TERRITORIALES ET ÉQUITÉ DU MODÈLE </w:t>
      </w:r>
    </w:p>
    <w:p w14:paraId="4677692C" w14:textId="77777777" w:rsidR="00CD748F" w:rsidRDefault="00426F7E">
      <w:pPr>
        <w:spacing w:after="144" w:line="261" w:lineRule="auto"/>
        <w:ind w:left="-5" w:right="0"/>
      </w:pPr>
      <w:r>
        <w:rPr>
          <w:rFonts w:cs="Cambria"/>
        </w:rPr>
        <w:t xml:space="preserve">L’agrégat national masque une partie essentielle de la performance. En 2025, les créations nettes d’emplois ont augmenté de 203 000 en urbain alors que le rural enregistrait une baisse de 10 000. </w:t>
      </w:r>
      <w:r>
        <w:t xml:space="preserve">Le sous-emploi atteint 13,2 % dans le rural. La pauvreté et la vulnérabilité restent aussi plus fortes hors des grands pôles urbains. [F3][S1] </w:t>
      </w:r>
    </w:p>
    <w:p w14:paraId="6E0A9339" w14:textId="77777777" w:rsidR="00CD748F" w:rsidRDefault="00426F7E">
      <w:pPr>
        <w:spacing w:after="349"/>
        <w:ind w:left="-5" w:right="0"/>
      </w:pPr>
      <w:r>
        <w:t xml:space="preserve">La redistribution territoriale doit être mesurée par résultat et non par allocation brute. Une région peut recevoir une enveloppe importante mais conserver un déficit de personnel médical, </w:t>
      </w:r>
      <w:r>
        <w:rPr>
          <w:rFonts w:cs="Cambria"/>
        </w:rPr>
        <w:t>d’enseignants ou d’emplois. Une autre peut recevoir moins mais prod</w:t>
      </w:r>
      <w:r>
        <w:t xml:space="preserve">uire un retour économique </w:t>
      </w:r>
      <w:r>
        <w:rPr>
          <w:rFonts w:cs="Cambria"/>
        </w:rPr>
        <w:t xml:space="preserve">supérieur. L’audit recommande donc un compte territorial intégré : investissement public, emplois </w:t>
      </w:r>
      <w:r>
        <w:t xml:space="preserve">nets, revenu des ménages, services de santé, acquis scolaires, eau, pauvreté et recettes fiscales locales. </w:t>
      </w:r>
    </w:p>
    <w:p w14:paraId="26BEF489" w14:textId="77777777" w:rsidR="00CD748F" w:rsidRDefault="00426F7E">
      <w:pPr>
        <w:pStyle w:val="Titre2"/>
        <w:ind w:left="-5"/>
      </w:pPr>
      <w:r>
        <w:t xml:space="preserve">XXX. SUIVI DES RECOMMANDATIONS ET RESPONSABILITÉ ADMINISTRATIVE </w:t>
      </w:r>
    </w:p>
    <w:p w14:paraId="06B7E4CB" w14:textId="77777777" w:rsidR="00CD748F" w:rsidRDefault="00426F7E">
      <w:pPr>
        <w:spacing w:after="144" w:line="261" w:lineRule="auto"/>
        <w:ind w:left="-5" w:right="0"/>
      </w:pPr>
      <w:r>
        <w:rPr>
          <w:rFonts w:cs="Cambria"/>
        </w:rPr>
        <w:t xml:space="preserve">Le suivi des recommandations de la Cour est l’un des indicateurs les plus robustes de la capacité de l’État à apprendre de ses erreurs. Sur un lot de 300 recommandations arrivées à échéance avant </w:t>
      </w:r>
      <w:r>
        <w:t xml:space="preserve">fin 2024, 54 étaient entièrement réalisées, 141 en cours et 105 non entamées. La Cour indiquait </w:t>
      </w:r>
      <w:r>
        <w:rPr>
          <w:rFonts w:cs="Cambria"/>
        </w:rPr>
        <w:t>également qu’un sous</w:t>
      </w:r>
      <w:r>
        <w:t>-</w:t>
      </w:r>
      <w:r>
        <w:rPr>
          <w:rFonts w:cs="Cambria"/>
        </w:rPr>
        <w:t xml:space="preserve">ensemble de recommandations reportées n’avait connu aucun progrès </w:t>
      </w:r>
      <w:r>
        <w:t xml:space="preserve">concret. [F3][S2] </w:t>
      </w:r>
    </w:p>
    <w:p w14:paraId="57D0FBFD" w14:textId="77777777" w:rsidR="00CD748F" w:rsidRDefault="00426F7E">
      <w:pPr>
        <w:spacing w:after="10"/>
        <w:ind w:left="-5" w:right="0"/>
      </w:pPr>
      <w:r>
        <w:rPr>
          <w:rFonts w:cs="Cambria"/>
        </w:rPr>
        <w:t xml:space="preserve">Une recommandation non close ne signifie pas nécessairement que l’administration est fautive ; </w:t>
      </w:r>
      <w:r>
        <w:t xml:space="preserve">certaines réformes nécessitent des modifications législatives ou une coordination interinstitutionnelle. Mais une recommandation récurrente sans échéance opposable crée un risque de répétition. La solution institutionnelle est simple : chaque recommandation doit avoir un </w:t>
      </w:r>
      <w:r>
        <w:rPr>
          <w:rFonts w:cs="Cambria"/>
        </w:rPr>
        <w:t xml:space="preserve">responsable, une échéance, une pièce de clôture et un indicateur d’effet. Le Parlement devrait </w:t>
      </w:r>
      <w:r>
        <w:t xml:space="preserve">pouvoir distinguer « action engagée » de « anomalie effectivement corrigée ». </w:t>
      </w:r>
      <w:r>
        <w:rPr>
          <w:rFonts w:cs="Cambria"/>
          <w:b/>
          <w:color w:val="163A5F"/>
          <w:sz w:val="40"/>
        </w:rPr>
        <w:t xml:space="preserve"> </w:t>
      </w:r>
    </w:p>
    <w:p w14:paraId="075FF440" w14:textId="77777777" w:rsidR="00CD748F" w:rsidRDefault="00426F7E">
      <w:pPr>
        <w:spacing w:after="218" w:line="259" w:lineRule="auto"/>
        <w:ind w:left="0" w:right="0" w:firstLine="0"/>
        <w:jc w:val="left"/>
      </w:pPr>
      <w:r>
        <w:rPr>
          <w:rFonts w:ascii="Calibri" w:eastAsia="Calibri" w:hAnsi="Calibri" w:cs="Calibri"/>
          <w:sz w:val="21"/>
        </w:rPr>
        <w:t xml:space="preserve"> </w:t>
      </w:r>
    </w:p>
    <w:p w14:paraId="0729FED7" w14:textId="77777777" w:rsidR="00CD748F" w:rsidRDefault="00426F7E">
      <w:pPr>
        <w:spacing w:after="216" w:line="259" w:lineRule="auto"/>
        <w:ind w:left="0" w:right="0" w:firstLine="0"/>
        <w:jc w:val="left"/>
      </w:pPr>
      <w:r>
        <w:rPr>
          <w:rFonts w:ascii="Calibri" w:eastAsia="Calibri" w:hAnsi="Calibri" w:cs="Calibri"/>
          <w:sz w:val="21"/>
        </w:rPr>
        <w:t xml:space="preserve"> </w:t>
      </w:r>
    </w:p>
    <w:p w14:paraId="71222B6F" w14:textId="77777777" w:rsidR="00CD748F" w:rsidRDefault="00426F7E">
      <w:pPr>
        <w:spacing w:after="216" w:line="259" w:lineRule="auto"/>
        <w:ind w:left="0" w:right="0" w:firstLine="0"/>
        <w:jc w:val="left"/>
      </w:pPr>
      <w:r>
        <w:rPr>
          <w:rFonts w:ascii="Calibri" w:eastAsia="Calibri" w:hAnsi="Calibri" w:cs="Calibri"/>
          <w:sz w:val="21"/>
        </w:rPr>
        <w:t xml:space="preserve"> </w:t>
      </w:r>
    </w:p>
    <w:p w14:paraId="46E93D68" w14:textId="77777777" w:rsidR="00CD748F" w:rsidRDefault="00426F7E">
      <w:pPr>
        <w:spacing w:after="216" w:line="259" w:lineRule="auto"/>
        <w:ind w:left="0" w:right="0" w:firstLine="0"/>
        <w:jc w:val="left"/>
      </w:pPr>
      <w:r>
        <w:rPr>
          <w:rFonts w:ascii="Calibri" w:eastAsia="Calibri" w:hAnsi="Calibri" w:cs="Calibri"/>
          <w:sz w:val="21"/>
        </w:rPr>
        <w:t xml:space="preserve"> </w:t>
      </w:r>
    </w:p>
    <w:p w14:paraId="7CE590D3" w14:textId="77777777" w:rsidR="00CD748F" w:rsidRDefault="00426F7E">
      <w:pPr>
        <w:spacing w:after="216" w:line="259" w:lineRule="auto"/>
        <w:ind w:left="0" w:right="0" w:firstLine="0"/>
        <w:jc w:val="left"/>
      </w:pPr>
      <w:r>
        <w:rPr>
          <w:rFonts w:ascii="Calibri" w:eastAsia="Calibri" w:hAnsi="Calibri" w:cs="Calibri"/>
          <w:sz w:val="21"/>
        </w:rPr>
        <w:t xml:space="preserve"> </w:t>
      </w:r>
    </w:p>
    <w:p w14:paraId="0DF1EAE3" w14:textId="77777777" w:rsidR="00CD748F" w:rsidRDefault="00426F7E">
      <w:pPr>
        <w:spacing w:after="216" w:line="259" w:lineRule="auto"/>
        <w:ind w:left="0" w:right="0" w:firstLine="0"/>
        <w:jc w:val="left"/>
      </w:pPr>
      <w:r>
        <w:rPr>
          <w:rFonts w:ascii="Calibri" w:eastAsia="Calibri" w:hAnsi="Calibri" w:cs="Calibri"/>
          <w:sz w:val="21"/>
        </w:rPr>
        <w:t xml:space="preserve"> </w:t>
      </w:r>
    </w:p>
    <w:p w14:paraId="14CCC016" w14:textId="77777777" w:rsidR="00CD748F" w:rsidRDefault="00426F7E">
      <w:pPr>
        <w:spacing w:after="398" w:line="259" w:lineRule="auto"/>
        <w:ind w:left="0" w:right="0" w:firstLine="0"/>
        <w:jc w:val="left"/>
      </w:pPr>
      <w:r>
        <w:rPr>
          <w:rFonts w:ascii="Calibri" w:eastAsia="Calibri" w:hAnsi="Calibri" w:cs="Calibri"/>
          <w:sz w:val="21"/>
        </w:rPr>
        <w:t xml:space="preserve"> </w:t>
      </w:r>
    </w:p>
    <w:p w14:paraId="0DF1D99F" w14:textId="77777777" w:rsidR="00CD748F" w:rsidRDefault="00426F7E">
      <w:pPr>
        <w:spacing w:after="226" w:line="259" w:lineRule="auto"/>
        <w:ind w:left="0" w:right="0" w:firstLine="0"/>
        <w:jc w:val="left"/>
      </w:pPr>
      <w:r>
        <w:rPr>
          <w:rFonts w:cs="Cambria"/>
          <w:b/>
          <w:color w:val="163A5F"/>
          <w:sz w:val="40"/>
        </w:rPr>
        <w:t xml:space="preserve"> </w:t>
      </w:r>
    </w:p>
    <w:p w14:paraId="12366322" w14:textId="77777777" w:rsidR="00CD748F" w:rsidRDefault="00426F7E">
      <w:pPr>
        <w:spacing w:after="0" w:line="259" w:lineRule="auto"/>
        <w:ind w:left="0" w:right="0" w:firstLine="0"/>
        <w:jc w:val="left"/>
      </w:pPr>
      <w:r>
        <w:rPr>
          <w:rFonts w:cs="Cambria"/>
          <w:b/>
          <w:color w:val="163A5F"/>
          <w:sz w:val="40"/>
        </w:rPr>
        <w:t xml:space="preserve"> </w:t>
      </w:r>
    </w:p>
    <w:p w14:paraId="4B85D5EF" w14:textId="77777777" w:rsidR="00CD748F" w:rsidRDefault="00426F7E">
      <w:pPr>
        <w:spacing w:after="0" w:line="259" w:lineRule="auto"/>
        <w:ind w:left="0" w:right="0" w:firstLine="0"/>
        <w:jc w:val="left"/>
      </w:pPr>
      <w:r>
        <w:rPr>
          <w:rFonts w:ascii="Calibri" w:eastAsia="Calibri" w:hAnsi="Calibri" w:cs="Calibri"/>
          <w:sz w:val="21"/>
        </w:rPr>
        <w:t xml:space="preserve"> </w:t>
      </w:r>
    </w:p>
    <w:p w14:paraId="686D0FB5" w14:textId="77777777" w:rsidR="00CD748F" w:rsidRDefault="00426F7E">
      <w:pPr>
        <w:pStyle w:val="Titre2"/>
        <w:ind w:left="-5"/>
      </w:pPr>
      <w:r>
        <w:t xml:space="preserve">XXXI. MATRICE MAÎTRE   ANOMALIES, RISQUES ET PIÈCES À EXIGER </w:t>
      </w:r>
    </w:p>
    <w:tbl>
      <w:tblPr>
        <w:tblStyle w:val="TableGrid"/>
        <w:tblW w:w="9961" w:type="dxa"/>
        <w:tblInd w:w="7" w:type="dxa"/>
        <w:tblCellMar>
          <w:top w:w="80" w:type="dxa"/>
          <w:left w:w="0" w:type="dxa"/>
          <w:bottom w:w="0" w:type="dxa"/>
          <w:right w:w="0" w:type="dxa"/>
        </w:tblCellMar>
        <w:tblLook w:val="04A0" w:firstRow="1" w:lastRow="0" w:firstColumn="1" w:lastColumn="0" w:noHBand="0" w:noVBand="1"/>
      </w:tblPr>
      <w:tblGrid>
        <w:gridCol w:w="487"/>
        <w:gridCol w:w="1558"/>
        <w:gridCol w:w="1507"/>
        <w:gridCol w:w="1342"/>
        <w:gridCol w:w="418"/>
        <w:gridCol w:w="2898"/>
        <w:gridCol w:w="1751"/>
      </w:tblGrid>
      <w:tr w:rsidR="00CD748F" w14:paraId="75CA1245" w14:textId="77777777">
        <w:trPr>
          <w:trHeight w:val="373"/>
        </w:trPr>
        <w:tc>
          <w:tcPr>
            <w:tcW w:w="500" w:type="dxa"/>
            <w:tcBorders>
              <w:top w:val="single" w:sz="4" w:space="0" w:color="000000"/>
              <w:left w:val="single" w:sz="4" w:space="0" w:color="000000"/>
              <w:bottom w:val="single" w:sz="4" w:space="0" w:color="000000"/>
              <w:right w:val="single" w:sz="4" w:space="0" w:color="000000"/>
            </w:tcBorders>
            <w:shd w:val="clear" w:color="auto" w:fill="163A5F"/>
          </w:tcPr>
          <w:p w14:paraId="3B008372" w14:textId="77777777" w:rsidR="00CD748F" w:rsidRDefault="00426F7E">
            <w:pPr>
              <w:spacing w:after="0" w:line="259" w:lineRule="auto"/>
              <w:ind w:left="99" w:right="0" w:firstLine="0"/>
              <w:jc w:val="left"/>
            </w:pPr>
            <w:r>
              <w:rPr>
                <w:b/>
                <w:color w:val="FFFFFF"/>
                <w:sz w:val="20"/>
              </w:rPr>
              <w:t>ID</w:t>
            </w:r>
            <w:r>
              <w:rPr>
                <w:color w:val="FFFFFF"/>
              </w:rPr>
              <w:t xml:space="preserve"> </w:t>
            </w:r>
          </w:p>
        </w:tc>
        <w:tc>
          <w:tcPr>
            <w:tcW w:w="1582" w:type="dxa"/>
            <w:tcBorders>
              <w:top w:val="single" w:sz="4" w:space="0" w:color="000000"/>
              <w:left w:val="single" w:sz="4" w:space="0" w:color="000000"/>
              <w:bottom w:val="single" w:sz="4" w:space="0" w:color="000000"/>
              <w:right w:val="single" w:sz="4" w:space="0" w:color="000000"/>
            </w:tcBorders>
            <w:shd w:val="clear" w:color="auto" w:fill="163A5F"/>
          </w:tcPr>
          <w:p w14:paraId="1DBF8D73" w14:textId="77777777" w:rsidR="00CD748F" w:rsidRDefault="00426F7E">
            <w:pPr>
              <w:spacing w:after="0" w:line="259" w:lineRule="auto"/>
              <w:ind w:left="101" w:right="0" w:firstLine="0"/>
              <w:jc w:val="left"/>
            </w:pPr>
            <w:r>
              <w:rPr>
                <w:b/>
                <w:color w:val="FFFFFF"/>
                <w:sz w:val="20"/>
              </w:rPr>
              <w:t>Dossier</w:t>
            </w:r>
            <w:r>
              <w:rPr>
                <w:color w:val="FFFFFF"/>
              </w:rPr>
              <w:t xml:space="preserve"> </w:t>
            </w:r>
          </w:p>
        </w:tc>
        <w:tc>
          <w:tcPr>
            <w:tcW w:w="1529" w:type="dxa"/>
            <w:tcBorders>
              <w:top w:val="single" w:sz="4" w:space="0" w:color="000000"/>
              <w:left w:val="single" w:sz="4" w:space="0" w:color="000000"/>
              <w:bottom w:val="single" w:sz="4" w:space="0" w:color="000000"/>
              <w:right w:val="single" w:sz="4" w:space="0" w:color="000000"/>
            </w:tcBorders>
            <w:shd w:val="clear" w:color="auto" w:fill="163A5F"/>
          </w:tcPr>
          <w:p w14:paraId="58A230DE" w14:textId="77777777" w:rsidR="00CD748F" w:rsidRDefault="00426F7E">
            <w:pPr>
              <w:spacing w:after="0" w:line="259" w:lineRule="auto"/>
              <w:ind w:left="101" w:right="0" w:firstLine="0"/>
              <w:jc w:val="left"/>
            </w:pPr>
            <w:r>
              <w:rPr>
                <w:b/>
                <w:color w:val="FFFFFF"/>
                <w:sz w:val="20"/>
              </w:rPr>
              <w:t>Constat</w:t>
            </w:r>
            <w:r>
              <w:rPr>
                <w:color w:val="FFFFFF"/>
              </w:rPr>
              <w:t xml:space="preserve"> </w:t>
            </w:r>
          </w:p>
        </w:tc>
        <w:tc>
          <w:tcPr>
            <w:tcW w:w="1656" w:type="dxa"/>
            <w:gridSpan w:val="2"/>
            <w:tcBorders>
              <w:top w:val="single" w:sz="4" w:space="0" w:color="000000"/>
              <w:left w:val="single" w:sz="4" w:space="0" w:color="000000"/>
              <w:bottom w:val="single" w:sz="4" w:space="0" w:color="000000"/>
              <w:right w:val="single" w:sz="4" w:space="0" w:color="000000"/>
            </w:tcBorders>
            <w:shd w:val="clear" w:color="auto" w:fill="163A5F"/>
          </w:tcPr>
          <w:p w14:paraId="6139A869" w14:textId="77777777" w:rsidR="00CD748F" w:rsidRDefault="00426F7E">
            <w:pPr>
              <w:spacing w:after="0" w:line="259" w:lineRule="auto"/>
              <w:ind w:left="101" w:right="0" w:firstLine="0"/>
              <w:jc w:val="left"/>
            </w:pPr>
            <w:r>
              <w:rPr>
                <w:b/>
                <w:color w:val="FFFFFF"/>
                <w:sz w:val="20"/>
              </w:rPr>
              <w:t>Qualification</w:t>
            </w:r>
            <w:r>
              <w:rPr>
                <w:color w:val="FFFFFF"/>
              </w:rPr>
              <w:t xml:space="preserve"> </w:t>
            </w:r>
          </w:p>
        </w:tc>
        <w:tc>
          <w:tcPr>
            <w:tcW w:w="2925" w:type="dxa"/>
            <w:tcBorders>
              <w:top w:val="single" w:sz="4" w:space="0" w:color="000000"/>
              <w:left w:val="single" w:sz="4" w:space="0" w:color="000000"/>
              <w:bottom w:val="single" w:sz="4" w:space="0" w:color="000000"/>
              <w:right w:val="single" w:sz="4" w:space="0" w:color="000000"/>
            </w:tcBorders>
            <w:shd w:val="clear" w:color="auto" w:fill="163A5F"/>
          </w:tcPr>
          <w:p w14:paraId="7BFEB655" w14:textId="77777777" w:rsidR="00CD748F" w:rsidRDefault="00426F7E">
            <w:pPr>
              <w:spacing w:after="0" w:line="259" w:lineRule="auto"/>
              <w:ind w:left="101" w:right="0" w:firstLine="0"/>
              <w:jc w:val="left"/>
            </w:pPr>
            <w:r>
              <w:rPr>
                <w:b/>
                <w:color w:val="FFFFFF"/>
                <w:sz w:val="20"/>
              </w:rPr>
              <w:t>Pièce prioritaire</w:t>
            </w:r>
            <w:r>
              <w:rPr>
                <w:color w:val="FFFFFF"/>
              </w:rPr>
              <w:t xml:space="preserve"> </w:t>
            </w:r>
          </w:p>
        </w:tc>
        <w:tc>
          <w:tcPr>
            <w:tcW w:w="1769" w:type="dxa"/>
            <w:tcBorders>
              <w:top w:val="single" w:sz="4" w:space="0" w:color="000000"/>
              <w:left w:val="single" w:sz="4" w:space="0" w:color="000000"/>
              <w:bottom w:val="single" w:sz="33" w:space="0" w:color="EEF3F7"/>
              <w:right w:val="single" w:sz="4" w:space="0" w:color="000000"/>
            </w:tcBorders>
            <w:shd w:val="clear" w:color="auto" w:fill="163A5F"/>
          </w:tcPr>
          <w:p w14:paraId="75A5D42F" w14:textId="77777777" w:rsidR="00CD748F" w:rsidRDefault="00426F7E">
            <w:pPr>
              <w:spacing w:after="0" w:line="259" w:lineRule="auto"/>
              <w:ind w:left="100" w:right="0" w:firstLine="0"/>
              <w:jc w:val="left"/>
            </w:pPr>
            <w:r>
              <w:rPr>
                <w:b/>
                <w:color w:val="FFFFFF"/>
                <w:sz w:val="20"/>
              </w:rPr>
              <w:t>Entité à entendre</w:t>
            </w:r>
            <w:r>
              <w:rPr>
                <w:color w:val="FFFFFF"/>
              </w:rPr>
              <w:t xml:space="preserve"> </w:t>
            </w:r>
          </w:p>
        </w:tc>
      </w:tr>
      <w:tr w:rsidR="00CD748F" w14:paraId="07CDBE5E" w14:textId="77777777">
        <w:trPr>
          <w:trHeight w:val="1351"/>
        </w:trPr>
        <w:tc>
          <w:tcPr>
            <w:tcW w:w="500"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642BE35D" w14:textId="77777777" w:rsidR="00CD748F" w:rsidRDefault="00426F7E">
            <w:pPr>
              <w:spacing w:after="0" w:line="259" w:lineRule="auto"/>
              <w:ind w:left="99" w:right="0" w:firstLine="0"/>
              <w:jc w:val="left"/>
            </w:pPr>
            <w:r>
              <w:rPr>
                <w:sz w:val="20"/>
              </w:rPr>
              <w:t>A1</w:t>
            </w:r>
            <w:r>
              <w:t xml:space="preserve"> </w:t>
            </w:r>
          </w:p>
        </w:tc>
        <w:tc>
          <w:tcPr>
            <w:tcW w:w="1582"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02BE6232" w14:textId="77777777" w:rsidR="00CD748F" w:rsidRDefault="00426F7E">
            <w:pPr>
              <w:spacing w:after="0" w:line="259" w:lineRule="auto"/>
              <w:ind w:left="101" w:right="0" w:firstLine="0"/>
              <w:jc w:val="left"/>
            </w:pPr>
            <w:r>
              <w:rPr>
                <w:sz w:val="20"/>
              </w:rPr>
              <w:t>Emploi 850k</w:t>
            </w:r>
            <w:r>
              <w:t xml:space="preserve"> </w:t>
            </w:r>
          </w:p>
        </w:tc>
        <w:tc>
          <w:tcPr>
            <w:tcW w:w="1529" w:type="dxa"/>
            <w:tcBorders>
              <w:top w:val="single" w:sz="4" w:space="0" w:color="000000"/>
              <w:left w:val="single" w:sz="4" w:space="0" w:color="000000"/>
              <w:bottom w:val="single" w:sz="4" w:space="0" w:color="000000"/>
              <w:right w:val="single" w:sz="4" w:space="0" w:color="000000"/>
            </w:tcBorders>
            <w:shd w:val="clear" w:color="auto" w:fill="EEF3F7"/>
          </w:tcPr>
          <w:p w14:paraId="5CC9D1DB" w14:textId="77777777" w:rsidR="00CD748F" w:rsidRDefault="00426F7E">
            <w:pPr>
              <w:spacing w:after="31" w:line="243" w:lineRule="auto"/>
              <w:ind w:left="101" w:right="0" w:firstLine="0"/>
              <w:jc w:val="left"/>
            </w:pPr>
            <w:r>
              <w:rPr>
                <w:sz w:val="20"/>
              </w:rPr>
              <w:t xml:space="preserve">Créations </w:t>
            </w:r>
            <w:r>
              <w:rPr>
                <w:sz w:val="20"/>
              </w:rPr>
              <w:tab/>
              <w:t xml:space="preserve">non agricoles utilisées face à cible </w:t>
            </w:r>
            <w:r>
              <w:rPr>
                <w:sz w:val="20"/>
              </w:rPr>
              <w:tab/>
              <w:t xml:space="preserve">nette </w:t>
            </w:r>
          </w:p>
          <w:p w14:paraId="4584B985" w14:textId="77777777" w:rsidR="00CD748F" w:rsidRDefault="00426F7E">
            <w:pPr>
              <w:spacing w:after="0" w:line="259" w:lineRule="auto"/>
              <w:ind w:left="101" w:right="0" w:firstLine="0"/>
              <w:jc w:val="left"/>
            </w:pPr>
            <w:r>
              <w:rPr>
                <w:sz w:val="20"/>
              </w:rPr>
              <w:t>nationale</w:t>
            </w:r>
            <w:r>
              <w:t xml:space="preserve"> </w:t>
            </w:r>
          </w:p>
        </w:tc>
        <w:tc>
          <w:tcPr>
            <w:tcW w:w="1656" w:type="dxa"/>
            <w:gridSpan w:val="2"/>
            <w:tcBorders>
              <w:top w:val="single" w:sz="4" w:space="0" w:color="000000"/>
              <w:left w:val="single" w:sz="4" w:space="0" w:color="000000"/>
              <w:bottom w:val="single" w:sz="4" w:space="0" w:color="000000"/>
              <w:right w:val="single" w:sz="4" w:space="0" w:color="000000"/>
            </w:tcBorders>
            <w:shd w:val="clear" w:color="auto" w:fill="EEF3F7"/>
            <w:vAlign w:val="center"/>
          </w:tcPr>
          <w:p w14:paraId="0FCDF092" w14:textId="77777777" w:rsidR="00CD748F" w:rsidRDefault="00426F7E">
            <w:pPr>
              <w:spacing w:after="0" w:line="259" w:lineRule="auto"/>
              <w:ind w:left="101" w:right="0" w:firstLine="0"/>
            </w:pPr>
            <w:r>
              <w:rPr>
                <w:sz w:val="20"/>
              </w:rPr>
              <w:t>Faux au regard du périmètre</w:t>
            </w:r>
            <w:r>
              <w:t xml:space="preserve"> </w:t>
            </w:r>
          </w:p>
        </w:tc>
        <w:tc>
          <w:tcPr>
            <w:tcW w:w="2925"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6A92CEED" w14:textId="77777777" w:rsidR="00CD748F" w:rsidRDefault="00426F7E">
            <w:pPr>
              <w:tabs>
                <w:tab w:val="center" w:pos="1191"/>
                <w:tab w:val="center" w:pos="1905"/>
                <w:tab w:val="right" w:pos="2925"/>
              </w:tabs>
              <w:spacing w:after="16" w:line="259" w:lineRule="auto"/>
              <w:ind w:left="0" w:right="0" w:firstLine="0"/>
              <w:jc w:val="left"/>
            </w:pPr>
            <w:r>
              <w:rPr>
                <w:sz w:val="20"/>
              </w:rPr>
              <w:t xml:space="preserve">Série </w:t>
            </w:r>
            <w:r>
              <w:rPr>
                <w:sz w:val="20"/>
              </w:rPr>
              <w:tab/>
              <w:t xml:space="preserve">HCP </w:t>
            </w:r>
            <w:r>
              <w:rPr>
                <w:sz w:val="20"/>
              </w:rPr>
              <w:tab/>
              <w:t xml:space="preserve">+ </w:t>
            </w:r>
            <w:r>
              <w:rPr>
                <w:sz w:val="20"/>
              </w:rPr>
              <w:tab/>
              <w:t xml:space="preserve">note </w:t>
            </w:r>
          </w:p>
          <w:p w14:paraId="1D195BA7" w14:textId="77777777" w:rsidR="00CD748F" w:rsidRDefault="00426F7E">
            <w:pPr>
              <w:spacing w:after="0" w:line="259" w:lineRule="auto"/>
              <w:ind w:left="101" w:right="0" w:firstLine="0"/>
              <w:jc w:val="left"/>
            </w:pPr>
            <w:r>
              <w:rPr>
                <w:sz w:val="20"/>
              </w:rPr>
              <w:t>gouvernementale + définition</w:t>
            </w:r>
            <w:r>
              <w:t xml:space="preserve"> </w:t>
            </w:r>
          </w:p>
        </w:tc>
        <w:tc>
          <w:tcPr>
            <w:tcW w:w="1769"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70DDCB50" w14:textId="77777777" w:rsidR="00CD748F" w:rsidRDefault="00426F7E">
            <w:pPr>
              <w:spacing w:after="0" w:line="259" w:lineRule="auto"/>
              <w:ind w:left="100" w:right="0" w:firstLine="0"/>
              <w:jc w:val="left"/>
            </w:pPr>
            <w:r>
              <w:rPr>
                <w:sz w:val="20"/>
              </w:rPr>
              <w:t>HCP / Emploi</w:t>
            </w:r>
            <w:r>
              <w:t xml:space="preserve"> </w:t>
            </w:r>
          </w:p>
        </w:tc>
      </w:tr>
      <w:tr w:rsidR="00CD748F" w14:paraId="12245A75" w14:textId="77777777">
        <w:trPr>
          <w:trHeight w:val="979"/>
        </w:trPr>
        <w:tc>
          <w:tcPr>
            <w:tcW w:w="500" w:type="dxa"/>
            <w:tcBorders>
              <w:top w:val="single" w:sz="4" w:space="0" w:color="000000"/>
              <w:left w:val="single" w:sz="4" w:space="0" w:color="000000"/>
              <w:bottom w:val="single" w:sz="4" w:space="0" w:color="000000"/>
              <w:right w:val="single" w:sz="4" w:space="0" w:color="000000"/>
            </w:tcBorders>
            <w:vAlign w:val="center"/>
          </w:tcPr>
          <w:p w14:paraId="7B0CCAD3" w14:textId="77777777" w:rsidR="00CD748F" w:rsidRDefault="00426F7E">
            <w:pPr>
              <w:spacing w:after="0" w:line="259" w:lineRule="auto"/>
              <w:ind w:left="99" w:right="0" w:firstLine="0"/>
              <w:jc w:val="left"/>
            </w:pPr>
            <w:r>
              <w:rPr>
                <w:sz w:val="20"/>
              </w:rPr>
              <w:t>A2</w:t>
            </w:r>
            <w:r>
              <w:t xml:space="preserve"> </w:t>
            </w:r>
          </w:p>
        </w:tc>
        <w:tc>
          <w:tcPr>
            <w:tcW w:w="1582" w:type="dxa"/>
            <w:tcBorders>
              <w:top w:val="single" w:sz="4" w:space="0" w:color="000000"/>
              <w:left w:val="single" w:sz="4" w:space="0" w:color="000000"/>
              <w:bottom w:val="single" w:sz="4" w:space="0" w:color="000000"/>
              <w:right w:val="single" w:sz="4" w:space="0" w:color="000000"/>
            </w:tcBorders>
            <w:vAlign w:val="center"/>
          </w:tcPr>
          <w:p w14:paraId="34CE0713" w14:textId="77777777" w:rsidR="00CD748F" w:rsidRDefault="00426F7E">
            <w:pPr>
              <w:spacing w:after="0" w:line="259" w:lineRule="auto"/>
              <w:ind w:left="101" w:right="0" w:firstLine="0"/>
              <w:jc w:val="left"/>
            </w:pPr>
            <w:r>
              <w:rPr>
                <w:sz w:val="20"/>
              </w:rPr>
              <w:t>Emploi 2026</w:t>
            </w:r>
            <w:r>
              <w:t xml:space="preserve"> </w:t>
            </w:r>
          </w:p>
        </w:tc>
        <w:tc>
          <w:tcPr>
            <w:tcW w:w="1529" w:type="dxa"/>
            <w:tcBorders>
              <w:top w:val="single" w:sz="4" w:space="0" w:color="000000"/>
              <w:left w:val="single" w:sz="4" w:space="0" w:color="000000"/>
              <w:bottom w:val="single" w:sz="4" w:space="0" w:color="000000"/>
              <w:right w:val="single" w:sz="4" w:space="0" w:color="000000"/>
            </w:tcBorders>
            <w:vAlign w:val="center"/>
          </w:tcPr>
          <w:p w14:paraId="5EF2387F" w14:textId="77777777" w:rsidR="00CD748F" w:rsidRDefault="00426F7E">
            <w:pPr>
              <w:spacing w:after="0" w:line="259" w:lineRule="auto"/>
              <w:ind w:left="101" w:right="0" w:firstLine="0"/>
              <w:jc w:val="left"/>
            </w:pPr>
            <w:r>
              <w:rPr>
                <w:sz w:val="20"/>
              </w:rPr>
              <w:t xml:space="preserve">Prévisions/sto cks </w:t>
            </w:r>
            <w:r>
              <w:rPr>
                <w:sz w:val="20"/>
              </w:rPr>
              <w:tab/>
              <w:t>nouvelle EMO</w:t>
            </w:r>
            <w:r>
              <w:t xml:space="preserve"> </w:t>
            </w:r>
          </w:p>
        </w:tc>
        <w:tc>
          <w:tcPr>
            <w:tcW w:w="1656" w:type="dxa"/>
            <w:gridSpan w:val="2"/>
            <w:tcBorders>
              <w:top w:val="single" w:sz="4" w:space="0" w:color="000000"/>
              <w:left w:val="single" w:sz="4" w:space="0" w:color="000000"/>
              <w:bottom w:val="single" w:sz="4" w:space="0" w:color="000000"/>
              <w:right w:val="single" w:sz="4" w:space="0" w:color="000000"/>
            </w:tcBorders>
            <w:vAlign w:val="center"/>
          </w:tcPr>
          <w:p w14:paraId="0D6E3CC0" w14:textId="77777777" w:rsidR="00CD748F" w:rsidRDefault="00426F7E">
            <w:pPr>
              <w:tabs>
                <w:tab w:val="right" w:pos="1656"/>
              </w:tabs>
              <w:spacing w:after="15" w:line="259" w:lineRule="auto"/>
              <w:ind w:left="0" w:right="0" w:firstLine="0"/>
              <w:jc w:val="left"/>
            </w:pPr>
            <w:r>
              <w:rPr>
                <w:sz w:val="20"/>
              </w:rPr>
              <w:t xml:space="preserve">Prévision </w:t>
            </w:r>
            <w:r>
              <w:rPr>
                <w:sz w:val="20"/>
              </w:rPr>
              <w:tab/>
              <w:t xml:space="preserve">≠ </w:t>
            </w:r>
          </w:p>
          <w:p w14:paraId="591D58B5" w14:textId="77777777" w:rsidR="00CD748F" w:rsidRDefault="00426F7E">
            <w:pPr>
              <w:spacing w:after="0" w:line="259" w:lineRule="auto"/>
              <w:ind w:left="101" w:right="0" w:firstLine="0"/>
              <w:jc w:val="left"/>
            </w:pPr>
            <w:r>
              <w:rPr>
                <w:sz w:val="20"/>
              </w:rPr>
              <w:t>résultat</w:t>
            </w:r>
            <w:r>
              <w:t xml:space="preserve"> </w:t>
            </w:r>
          </w:p>
        </w:tc>
        <w:tc>
          <w:tcPr>
            <w:tcW w:w="2925" w:type="dxa"/>
            <w:tcBorders>
              <w:top w:val="single" w:sz="4" w:space="0" w:color="000000"/>
              <w:left w:val="single" w:sz="4" w:space="0" w:color="000000"/>
              <w:bottom w:val="single" w:sz="4" w:space="0" w:color="000000"/>
              <w:right w:val="single" w:sz="4" w:space="0" w:color="000000"/>
            </w:tcBorders>
            <w:vAlign w:val="center"/>
          </w:tcPr>
          <w:p w14:paraId="55E0F21E" w14:textId="77777777" w:rsidR="00CD748F" w:rsidRDefault="00426F7E">
            <w:pPr>
              <w:spacing w:after="0" w:line="259" w:lineRule="auto"/>
              <w:ind w:left="101" w:right="0" w:firstLine="0"/>
              <w:jc w:val="left"/>
            </w:pPr>
            <w:r>
              <w:rPr>
                <w:sz w:val="20"/>
              </w:rPr>
              <w:t>Série annuelle 2026 raccordée</w:t>
            </w:r>
            <w:r>
              <w:t xml:space="preserve"> </w:t>
            </w:r>
          </w:p>
        </w:tc>
        <w:tc>
          <w:tcPr>
            <w:tcW w:w="1769" w:type="dxa"/>
            <w:tcBorders>
              <w:top w:val="single" w:sz="4" w:space="0" w:color="000000"/>
              <w:left w:val="single" w:sz="4" w:space="0" w:color="000000"/>
              <w:bottom w:val="single" w:sz="33" w:space="0" w:color="EEF3F7"/>
              <w:right w:val="single" w:sz="4" w:space="0" w:color="000000"/>
            </w:tcBorders>
            <w:vAlign w:val="center"/>
          </w:tcPr>
          <w:p w14:paraId="31B544FD" w14:textId="77777777" w:rsidR="00CD748F" w:rsidRDefault="00426F7E">
            <w:pPr>
              <w:spacing w:after="0" w:line="259" w:lineRule="auto"/>
              <w:ind w:left="100" w:right="0" w:firstLine="0"/>
              <w:jc w:val="left"/>
            </w:pPr>
            <w:r>
              <w:rPr>
                <w:sz w:val="20"/>
              </w:rPr>
              <w:t>HCP</w:t>
            </w:r>
            <w:r>
              <w:t xml:space="preserve"> </w:t>
            </w:r>
          </w:p>
        </w:tc>
      </w:tr>
      <w:tr w:rsidR="00CD748F" w14:paraId="47E124B0" w14:textId="77777777">
        <w:trPr>
          <w:trHeight w:val="1083"/>
        </w:trPr>
        <w:tc>
          <w:tcPr>
            <w:tcW w:w="500"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17AEE4FE" w14:textId="77777777" w:rsidR="00CD748F" w:rsidRDefault="00426F7E">
            <w:pPr>
              <w:spacing w:after="0" w:line="259" w:lineRule="auto"/>
              <w:ind w:left="99" w:right="0" w:firstLine="0"/>
              <w:jc w:val="left"/>
            </w:pPr>
            <w:r>
              <w:rPr>
                <w:sz w:val="20"/>
              </w:rPr>
              <w:t>A3</w:t>
            </w:r>
            <w:r>
              <w:t xml:space="preserve"> </w:t>
            </w:r>
          </w:p>
        </w:tc>
        <w:tc>
          <w:tcPr>
            <w:tcW w:w="1582"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2B939760" w14:textId="77777777" w:rsidR="00CD748F" w:rsidRDefault="00426F7E">
            <w:pPr>
              <w:spacing w:after="0" w:line="259" w:lineRule="auto"/>
              <w:ind w:left="101" w:right="0" w:firstLine="0"/>
              <w:jc w:val="left"/>
            </w:pPr>
            <w:r>
              <w:rPr>
                <w:sz w:val="20"/>
              </w:rPr>
              <w:t>AMO</w:t>
            </w:r>
            <w:r>
              <w:t xml:space="preserve"> </w:t>
            </w:r>
          </w:p>
        </w:tc>
        <w:tc>
          <w:tcPr>
            <w:tcW w:w="1529" w:type="dxa"/>
            <w:tcBorders>
              <w:top w:val="single" w:sz="4" w:space="0" w:color="000000"/>
              <w:left w:val="single" w:sz="4" w:space="0" w:color="000000"/>
              <w:bottom w:val="single" w:sz="4" w:space="0" w:color="000000"/>
              <w:right w:val="single" w:sz="4" w:space="0" w:color="000000"/>
            </w:tcBorders>
            <w:shd w:val="clear" w:color="auto" w:fill="EEF3F7"/>
          </w:tcPr>
          <w:p w14:paraId="58231311" w14:textId="77777777" w:rsidR="00CD748F" w:rsidRDefault="00426F7E">
            <w:pPr>
              <w:spacing w:after="0" w:line="259" w:lineRule="auto"/>
              <w:ind w:left="101" w:right="72" w:firstLine="0"/>
              <w:jc w:val="left"/>
            </w:pPr>
            <w:r>
              <w:rPr>
                <w:sz w:val="20"/>
              </w:rPr>
              <w:t>31,94M immatriculés vs 25,6M droits ouverts</w:t>
            </w:r>
            <w:r>
              <w:t xml:space="preserve"> </w:t>
            </w:r>
          </w:p>
        </w:tc>
        <w:tc>
          <w:tcPr>
            <w:tcW w:w="1656" w:type="dxa"/>
            <w:gridSpan w:val="2"/>
            <w:tcBorders>
              <w:top w:val="single" w:sz="4" w:space="0" w:color="000000"/>
              <w:left w:val="single" w:sz="4" w:space="0" w:color="000000"/>
              <w:bottom w:val="single" w:sz="4" w:space="0" w:color="000000"/>
              <w:right w:val="single" w:sz="4" w:space="0" w:color="000000"/>
            </w:tcBorders>
            <w:shd w:val="clear" w:color="auto" w:fill="EEF3F7"/>
            <w:vAlign w:val="center"/>
          </w:tcPr>
          <w:p w14:paraId="549F612B" w14:textId="77777777" w:rsidR="00CD748F" w:rsidRDefault="00426F7E">
            <w:pPr>
              <w:spacing w:after="0" w:line="259" w:lineRule="auto"/>
              <w:ind w:left="101" w:right="0" w:firstLine="0"/>
              <w:jc w:val="left"/>
            </w:pPr>
            <w:r>
              <w:rPr>
                <w:sz w:val="20"/>
              </w:rPr>
              <w:t xml:space="preserve">Stock </w:t>
            </w:r>
            <w:r>
              <w:rPr>
                <w:sz w:val="20"/>
              </w:rPr>
              <w:tab/>
              <w:t xml:space="preserve">≠ </w:t>
            </w:r>
            <w:r>
              <w:rPr>
                <w:sz w:val="20"/>
              </w:rPr>
              <w:t>couverture effective</w:t>
            </w:r>
            <w:r>
              <w:t xml:space="preserve"> </w:t>
            </w:r>
          </w:p>
        </w:tc>
        <w:tc>
          <w:tcPr>
            <w:tcW w:w="2925"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015FA157" w14:textId="77777777" w:rsidR="00CD748F" w:rsidRDefault="00426F7E">
            <w:pPr>
              <w:spacing w:after="0" w:line="259" w:lineRule="auto"/>
              <w:ind w:left="101" w:right="0" w:firstLine="0"/>
              <w:jc w:val="left"/>
            </w:pPr>
            <w:r>
              <w:rPr>
                <w:sz w:val="20"/>
              </w:rPr>
              <w:t xml:space="preserve">Données </w:t>
            </w:r>
          </w:p>
          <w:p w14:paraId="4CBD3D9A" w14:textId="77777777" w:rsidR="00CD748F" w:rsidRDefault="00426F7E">
            <w:pPr>
              <w:spacing w:after="0" w:line="259" w:lineRule="auto"/>
              <w:ind w:left="101" w:right="0" w:firstLine="0"/>
              <w:jc w:val="left"/>
            </w:pPr>
            <w:r>
              <w:rPr>
                <w:sz w:val="20"/>
              </w:rPr>
              <w:t>droits/prestations/rembourse ments</w:t>
            </w:r>
            <w:r>
              <w:t xml:space="preserve"> </w:t>
            </w:r>
          </w:p>
        </w:tc>
        <w:tc>
          <w:tcPr>
            <w:tcW w:w="1769"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12F1233A" w14:textId="77777777" w:rsidR="00CD748F" w:rsidRDefault="00426F7E">
            <w:pPr>
              <w:spacing w:after="0" w:line="259" w:lineRule="auto"/>
              <w:ind w:left="100" w:right="0" w:firstLine="0"/>
              <w:jc w:val="left"/>
            </w:pPr>
            <w:r>
              <w:rPr>
                <w:sz w:val="20"/>
              </w:rPr>
              <w:t>CNSS/ACAPS</w:t>
            </w:r>
            <w:r>
              <w:t xml:space="preserve"> </w:t>
            </w:r>
          </w:p>
        </w:tc>
      </w:tr>
      <w:tr w:rsidR="00CD748F" w14:paraId="39190B03" w14:textId="77777777">
        <w:trPr>
          <w:trHeight w:val="743"/>
        </w:trPr>
        <w:tc>
          <w:tcPr>
            <w:tcW w:w="500" w:type="dxa"/>
            <w:tcBorders>
              <w:top w:val="single" w:sz="4" w:space="0" w:color="000000"/>
              <w:left w:val="single" w:sz="4" w:space="0" w:color="000000"/>
              <w:bottom w:val="single" w:sz="4" w:space="0" w:color="000000"/>
              <w:right w:val="single" w:sz="4" w:space="0" w:color="000000"/>
            </w:tcBorders>
            <w:vAlign w:val="center"/>
          </w:tcPr>
          <w:p w14:paraId="23494BC1" w14:textId="77777777" w:rsidR="00CD748F" w:rsidRDefault="00426F7E">
            <w:pPr>
              <w:spacing w:after="0" w:line="259" w:lineRule="auto"/>
              <w:ind w:left="99" w:right="0" w:firstLine="0"/>
              <w:jc w:val="left"/>
            </w:pPr>
            <w:r>
              <w:rPr>
                <w:sz w:val="20"/>
              </w:rPr>
              <w:t>A4</w:t>
            </w:r>
            <w:r>
              <w:t xml:space="preserve"> </w:t>
            </w:r>
          </w:p>
        </w:tc>
        <w:tc>
          <w:tcPr>
            <w:tcW w:w="1582" w:type="dxa"/>
            <w:tcBorders>
              <w:top w:val="single" w:sz="4" w:space="0" w:color="000000"/>
              <w:left w:val="single" w:sz="4" w:space="0" w:color="000000"/>
              <w:bottom w:val="single" w:sz="4" w:space="0" w:color="000000"/>
              <w:right w:val="single" w:sz="4" w:space="0" w:color="000000"/>
            </w:tcBorders>
            <w:vAlign w:val="center"/>
          </w:tcPr>
          <w:p w14:paraId="4DEC0075" w14:textId="77777777" w:rsidR="00CD748F" w:rsidRDefault="00426F7E">
            <w:pPr>
              <w:spacing w:after="0" w:line="259" w:lineRule="auto"/>
              <w:ind w:left="101" w:right="0" w:firstLine="0"/>
              <w:jc w:val="left"/>
            </w:pPr>
            <w:r>
              <w:rPr>
                <w:sz w:val="20"/>
              </w:rPr>
              <w:t>Aide directe</w:t>
            </w:r>
            <w:r>
              <w:t xml:space="preserve"> </w:t>
            </w:r>
          </w:p>
        </w:tc>
        <w:tc>
          <w:tcPr>
            <w:tcW w:w="1529" w:type="dxa"/>
            <w:tcBorders>
              <w:top w:val="single" w:sz="4" w:space="0" w:color="000000"/>
              <w:left w:val="single" w:sz="4" w:space="0" w:color="000000"/>
              <w:bottom w:val="single" w:sz="4" w:space="0" w:color="000000"/>
              <w:right w:val="single" w:sz="4" w:space="0" w:color="000000"/>
            </w:tcBorders>
            <w:vAlign w:val="center"/>
          </w:tcPr>
          <w:p w14:paraId="71DA5E12" w14:textId="77777777" w:rsidR="00CD748F" w:rsidRDefault="00426F7E">
            <w:pPr>
              <w:tabs>
                <w:tab w:val="right" w:pos="1529"/>
              </w:tabs>
              <w:spacing w:after="16" w:line="259" w:lineRule="auto"/>
              <w:ind w:left="0" w:right="0" w:firstLine="0"/>
              <w:jc w:val="left"/>
            </w:pPr>
            <w:r>
              <w:rPr>
                <w:sz w:val="20"/>
              </w:rPr>
              <w:t xml:space="preserve">~4M </w:t>
            </w:r>
            <w:r>
              <w:rPr>
                <w:sz w:val="20"/>
              </w:rPr>
              <w:tab/>
              <w:t xml:space="preserve">familles </w:t>
            </w:r>
          </w:p>
          <w:p w14:paraId="6157C303" w14:textId="77777777" w:rsidR="00CD748F" w:rsidRDefault="00426F7E">
            <w:pPr>
              <w:spacing w:after="0" w:line="259" w:lineRule="auto"/>
              <w:ind w:left="101" w:right="0" w:firstLine="0"/>
              <w:jc w:val="left"/>
            </w:pPr>
            <w:r>
              <w:rPr>
                <w:sz w:val="20"/>
              </w:rPr>
              <w:t>bénéficiaires</w:t>
            </w:r>
            <w:r>
              <w:t xml:space="preserve"> </w:t>
            </w:r>
          </w:p>
        </w:tc>
        <w:tc>
          <w:tcPr>
            <w:tcW w:w="1656" w:type="dxa"/>
            <w:gridSpan w:val="2"/>
            <w:tcBorders>
              <w:top w:val="single" w:sz="4" w:space="0" w:color="000000"/>
              <w:left w:val="single" w:sz="4" w:space="0" w:color="000000"/>
              <w:bottom w:val="single" w:sz="4" w:space="0" w:color="000000"/>
              <w:right w:val="single" w:sz="4" w:space="0" w:color="000000"/>
            </w:tcBorders>
            <w:vAlign w:val="center"/>
          </w:tcPr>
          <w:p w14:paraId="7EE12845" w14:textId="77777777" w:rsidR="00CD748F" w:rsidRDefault="00426F7E">
            <w:pPr>
              <w:spacing w:after="0" w:line="259" w:lineRule="auto"/>
              <w:ind w:left="101" w:right="0" w:firstLine="0"/>
              <w:jc w:val="left"/>
            </w:pPr>
            <w:r>
              <w:rPr>
                <w:sz w:val="20"/>
              </w:rPr>
              <w:t xml:space="preserve">Output ≠ sortie </w:t>
            </w:r>
            <w:r>
              <w:rPr>
                <w:sz w:val="20"/>
              </w:rPr>
              <w:t>pauvreté</w:t>
            </w:r>
            <w:r>
              <w:t xml:space="preserve"> </w:t>
            </w:r>
          </w:p>
        </w:tc>
        <w:tc>
          <w:tcPr>
            <w:tcW w:w="2925" w:type="dxa"/>
            <w:tcBorders>
              <w:top w:val="single" w:sz="4" w:space="0" w:color="000000"/>
              <w:left w:val="single" w:sz="4" w:space="0" w:color="000000"/>
              <w:bottom w:val="single" w:sz="4" w:space="0" w:color="000000"/>
              <w:right w:val="single" w:sz="4" w:space="0" w:color="000000"/>
            </w:tcBorders>
            <w:vAlign w:val="center"/>
          </w:tcPr>
          <w:p w14:paraId="1ED2EBA2" w14:textId="77777777" w:rsidR="00CD748F" w:rsidRDefault="00426F7E">
            <w:pPr>
              <w:spacing w:after="0" w:line="259" w:lineRule="auto"/>
              <w:ind w:left="101" w:right="0" w:firstLine="0"/>
              <w:jc w:val="left"/>
            </w:pPr>
            <w:r>
              <w:rPr>
                <w:sz w:val="20"/>
              </w:rPr>
              <w:t>Panel RSU/revenu 12-36 mois</w:t>
            </w:r>
            <w:r>
              <w:t xml:space="preserve"> </w:t>
            </w:r>
          </w:p>
        </w:tc>
        <w:tc>
          <w:tcPr>
            <w:tcW w:w="1769" w:type="dxa"/>
            <w:tcBorders>
              <w:top w:val="single" w:sz="4" w:space="0" w:color="000000"/>
              <w:left w:val="single" w:sz="4" w:space="0" w:color="000000"/>
              <w:bottom w:val="single" w:sz="33" w:space="0" w:color="EEF3F7"/>
              <w:right w:val="single" w:sz="4" w:space="0" w:color="000000"/>
            </w:tcBorders>
            <w:vAlign w:val="center"/>
          </w:tcPr>
          <w:p w14:paraId="1CA67667" w14:textId="77777777" w:rsidR="00CD748F" w:rsidRDefault="00426F7E">
            <w:pPr>
              <w:spacing w:after="0" w:line="259" w:lineRule="auto"/>
              <w:ind w:left="100" w:right="0" w:firstLine="0"/>
              <w:jc w:val="left"/>
            </w:pPr>
            <w:r>
              <w:rPr>
                <w:sz w:val="20"/>
              </w:rPr>
              <w:t>ANSS/HCP</w:t>
            </w:r>
            <w:r>
              <w:t xml:space="preserve"> </w:t>
            </w:r>
          </w:p>
        </w:tc>
      </w:tr>
      <w:tr w:rsidR="00CD748F" w14:paraId="59C09285" w14:textId="77777777">
        <w:trPr>
          <w:trHeight w:val="615"/>
        </w:trPr>
        <w:tc>
          <w:tcPr>
            <w:tcW w:w="500"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10C83168" w14:textId="77777777" w:rsidR="00CD748F" w:rsidRDefault="00426F7E">
            <w:pPr>
              <w:spacing w:after="0" w:line="259" w:lineRule="auto"/>
              <w:ind w:left="99" w:right="0" w:firstLine="0"/>
              <w:jc w:val="left"/>
            </w:pPr>
            <w:r>
              <w:rPr>
                <w:sz w:val="20"/>
              </w:rPr>
              <w:t>A5</w:t>
            </w:r>
            <w:r>
              <w:t xml:space="preserve"> </w:t>
            </w:r>
          </w:p>
        </w:tc>
        <w:tc>
          <w:tcPr>
            <w:tcW w:w="1582"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6B1C28E9" w14:textId="77777777" w:rsidR="00CD748F" w:rsidRDefault="00426F7E">
            <w:pPr>
              <w:spacing w:after="0" w:line="259" w:lineRule="auto"/>
              <w:ind w:left="101" w:right="0" w:firstLine="0"/>
              <w:jc w:val="left"/>
            </w:pPr>
            <w:r>
              <w:rPr>
                <w:sz w:val="20"/>
              </w:rPr>
              <w:t>Gini</w:t>
            </w:r>
            <w:r>
              <w:t xml:space="preserve"> </w:t>
            </w:r>
          </w:p>
        </w:tc>
        <w:tc>
          <w:tcPr>
            <w:tcW w:w="1529" w:type="dxa"/>
            <w:tcBorders>
              <w:top w:val="single" w:sz="4" w:space="0" w:color="000000"/>
              <w:left w:val="single" w:sz="4" w:space="0" w:color="000000"/>
              <w:bottom w:val="single" w:sz="4" w:space="0" w:color="000000"/>
              <w:right w:val="single" w:sz="4" w:space="0" w:color="000000"/>
            </w:tcBorders>
            <w:shd w:val="clear" w:color="auto" w:fill="EEF3F7"/>
          </w:tcPr>
          <w:p w14:paraId="325A7373" w14:textId="77777777" w:rsidR="00CD748F" w:rsidRDefault="00426F7E">
            <w:pPr>
              <w:spacing w:after="11" w:line="259" w:lineRule="auto"/>
              <w:ind w:left="101" w:right="0" w:firstLine="0"/>
              <w:jc w:val="left"/>
            </w:pPr>
            <w:r>
              <w:rPr>
                <w:sz w:val="20"/>
              </w:rPr>
              <w:t xml:space="preserve">46,4 revenu vs </w:t>
            </w:r>
          </w:p>
          <w:p w14:paraId="530BBF8B" w14:textId="77777777" w:rsidR="00CD748F" w:rsidRDefault="00426F7E">
            <w:pPr>
              <w:spacing w:after="0" w:line="259" w:lineRule="auto"/>
              <w:ind w:left="101" w:right="0" w:firstLine="0"/>
              <w:jc w:val="left"/>
            </w:pPr>
            <w:r>
              <w:rPr>
                <w:sz w:val="20"/>
              </w:rPr>
              <w:t>40,5 dépense</w:t>
            </w:r>
            <w:r>
              <w:t xml:space="preserve"> </w:t>
            </w:r>
          </w:p>
        </w:tc>
        <w:tc>
          <w:tcPr>
            <w:tcW w:w="1656" w:type="dxa"/>
            <w:gridSpan w:val="2"/>
            <w:tcBorders>
              <w:top w:val="single" w:sz="4" w:space="0" w:color="000000"/>
              <w:left w:val="single" w:sz="4" w:space="0" w:color="000000"/>
              <w:bottom w:val="single" w:sz="4" w:space="0" w:color="000000"/>
              <w:right w:val="single" w:sz="4" w:space="0" w:color="000000"/>
            </w:tcBorders>
            <w:shd w:val="clear" w:color="auto" w:fill="EEF3F7"/>
            <w:vAlign w:val="center"/>
          </w:tcPr>
          <w:p w14:paraId="04C01D41" w14:textId="77777777" w:rsidR="00CD748F" w:rsidRDefault="00426F7E">
            <w:pPr>
              <w:spacing w:after="0" w:line="259" w:lineRule="auto"/>
              <w:ind w:left="101" w:right="0" w:firstLine="0"/>
              <w:jc w:val="left"/>
            </w:pPr>
            <w:r>
              <w:rPr>
                <w:sz w:val="20"/>
              </w:rPr>
              <w:t>Non comparable</w:t>
            </w:r>
            <w:r>
              <w:t xml:space="preserve"> </w:t>
            </w:r>
          </w:p>
        </w:tc>
        <w:tc>
          <w:tcPr>
            <w:tcW w:w="2925"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592EED5A" w14:textId="77777777" w:rsidR="00CD748F" w:rsidRDefault="00426F7E">
            <w:pPr>
              <w:spacing w:after="0" w:line="259" w:lineRule="auto"/>
              <w:ind w:left="101" w:right="0" w:firstLine="0"/>
              <w:jc w:val="left"/>
            </w:pPr>
            <w:r>
              <w:rPr>
                <w:sz w:val="20"/>
              </w:rPr>
              <w:t>Nouvelle série revenu</w:t>
            </w:r>
            <w:r>
              <w:t xml:space="preserve"> </w:t>
            </w:r>
          </w:p>
        </w:tc>
        <w:tc>
          <w:tcPr>
            <w:tcW w:w="1769"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78546C02" w14:textId="77777777" w:rsidR="00CD748F" w:rsidRDefault="00426F7E">
            <w:pPr>
              <w:spacing w:after="0" w:line="259" w:lineRule="auto"/>
              <w:ind w:left="100" w:right="0" w:firstLine="0"/>
              <w:jc w:val="left"/>
            </w:pPr>
            <w:r>
              <w:rPr>
                <w:sz w:val="20"/>
              </w:rPr>
              <w:t>HCP</w:t>
            </w:r>
            <w:r>
              <w:t xml:space="preserve"> </w:t>
            </w:r>
          </w:p>
        </w:tc>
      </w:tr>
      <w:tr w:rsidR="00CD748F" w14:paraId="6B6E8368" w14:textId="77777777">
        <w:trPr>
          <w:trHeight w:val="976"/>
        </w:trPr>
        <w:tc>
          <w:tcPr>
            <w:tcW w:w="500" w:type="dxa"/>
            <w:tcBorders>
              <w:top w:val="single" w:sz="4" w:space="0" w:color="000000"/>
              <w:left w:val="single" w:sz="4" w:space="0" w:color="000000"/>
              <w:bottom w:val="single" w:sz="33" w:space="0" w:color="EEF3F7"/>
              <w:right w:val="single" w:sz="4" w:space="0" w:color="000000"/>
            </w:tcBorders>
            <w:vAlign w:val="center"/>
          </w:tcPr>
          <w:p w14:paraId="4BC1D3A7" w14:textId="77777777" w:rsidR="00CD748F" w:rsidRDefault="00426F7E">
            <w:pPr>
              <w:spacing w:after="0" w:line="259" w:lineRule="auto"/>
              <w:ind w:left="99" w:right="0" w:firstLine="0"/>
              <w:jc w:val="left"/>
            </w:pPr>
            <w:r>
              <w:rPr>
                <w:sz w:val="20"/>
              </w:rPr>
              <w:t>A6</w:t>
            </w:r>
            <w:r>
              <w:t xml:space="preserve"> </w:t>
            </w:r>
          </w:p>
        </w:tc>
        <w:tc>
          <w:tcPr>
            <w:tcW w:w="1582" w:type="dxa"/>
            <w:tcBorders>
              <w:top w:val="single" w:sz="4" w:space="0" w:color="000000"/>
              <w:left w:val="single" w:sz="4" w:space="0" w:color="000000"/>
              <w:bottom w:val="single" w:sz="33" w:space="0" w:color="EEF3F7"/>
              <w:right w:val="single" w:sz="4" w:space="0" w:color="000000"/>
            </w:tcBorders>
            <w:vAlign w:val="center"/>
          </w:tcPr>
          <w:p w14:paraId="65E1979D" w14:textId="77777777" w:rsidR="00CD748F" w:rsidRDefault="00426F7E">
            <w:pPr>
              <w:spacing w:after="0" w:line="259" w:lineRule="auto"/>
              <w:ind w:left="101" w:right="0" w:firstLine="0"/>
              <w:jc w:val="left"/>
            </w:pPr>
            <w:r>
              <w:rPr>
                <w:sz w:val="20"/>
              </w:rPr>
              <w:t>Investissement</w:t>
            </w:r>
            <w:r>
              <w:t xml:space="preserve"> </w:t>
            </w:r>
          </w:p>
        </w:tc>
        <w:tc>
          <w:tcPr>
            <w:tcW w:w="1529" w:type="dxa"/>
            <w:tcBorders>
              <w:top w:val="single" w:sz="4" w:space="0" w:color="000000"/>
              <w:left w:val="single" w:sz="4" w:space="0" w:color="000000"/>
              <w:bottom w:val="single" w:sz="33" w:space="0" w:color="EEF3F7"/>
              <w:right w:val="single" w:sz="4" w:space="0" w:color="000000"/>
            </w:tcBorders>
            <w:vAlign w:val="center"/>
          </w:tcPr>
          <w:p w14:paraId="1A825C19" w14:textId="77777777" w:rsidR="00CD748F" w:rsidRDefault="00426F7E">
            <w:pPr>
              <w:spacing w:after="0" w:line="259" w:lineRule="auto"/>
              <w:ind w:left="101" w:right="102" w:firstLine="0"/>
            </w:pPr>
            <w:r>
              <w:rPr>
                <w:sz w:val="20"/>
              </w:rPr>
              <w:t>101,2 % initiaux vs 78 % définitifs</w:t>
            </w:r>
            <w:r>
              <w:t xml:space="preserve"> </w:t>
            </w:r>
          </w:p>
        </w:tc>
        <w:tc>
          <w:tcPr>
            <w:tcW w:w="1225" w:type="dxa"/>
            <w:tcBorders>
              <w:top w:val="single" w:sz="4" w:space="0" w:color="000000"/>
              <w:left w:val="single" w:sz="4" w:space="0" w:color="000000"/>
              <w:bottom w:val="single" w:sz="33" w:space="0" w:color="EEF3F7"/>
              <w:right w:val="nil"/>
            </w:tcBorders>
            <w:vAlign w:val="center"/>
          </w:tcPr>
          <w:p w14:paraId="1613DA71" w14:textId="77777777" w:rsidR="00CD748F" w:rsidRDefault="00426F7E">
            <w:pPr>
              <w:spacing w:after="0" w:line="259" w:lineRule="auto"/>
              <w:ind w:left="101" w:right="-111" w:firstLine="0"/>
              <w:jc w:val="left"/>
            </w:pPr>
            <w:r>
              <w:rPr>
                <w:sz w:val="20"/>
              </w:rPr>
              <w:t>Dénominateur favorable</w:t>
            </w:r>
            <w:r>
              <w:t xml:space="preserve"> </w:t>
            </w:r>
          </w:p>
        </w:tc>
        <w:tc>
          <w:tcPr>
            <w:tcW w:w="431" w:type="dxa"/>
            <w:tcBorders>
              <w:top w:val="single" w:sz="4" w:space="0" w:color="000000"/>
              <w:left w:val="nil"/>
              <w:bottom w:val="single" w:sz="33" w:space="0" w:color="EEF3F7"/>
              <w:right w:val="single" w:sz="4" w:space="0" w:color="000000"/>
            </w:tcBorders>
          </w:tcPr>
          <w:p w14:paraId="12AFCCBD" w14:textId="77777777" w:rsidR="00CD748F" w:rsidRDefault="00CD748F">
            <w:pPr>
              <w:spacing w:after="160" w:line="259" w:lineRule="auto"/>
              <w:ind w:left="0" w:right="0" w:firstLine="0"/>
              <w:jc w:val="left"/>
            </w:pPr>
          </w:p>
        </w:tc>
        <w:tc>
          <w:tcPr>
            <w:tcW w:w="2925" w:type="dxa"/>
            <w:tcBorders>
              <w:top w:val="single" w:sz="4" w:space="0" w:color="000000"/>
              <w:left w:val="single" w:sz="4" w:space="0" w:color="000000"/>
              <w:bottom w:val="single" w:sz="33" w:space="0" w:color="EEF3F7"/>
              <w:right w:val="single" w:sz="4" w:space="0" w:color="000000"/>
            </w:tcBorders>
            <w:vAlign w:val="center"/>
          </w:tcPr>
          <w:p w14:paraId="7D4E1E29" w14:textId="77777777" w:rsidR="00CD748F" w:rsidRDefault="00426F7E">
            <w:pPr>
              <w:tabs>
                <w:tab w:val="right" w:pos="2925"/>
              </w:tabs>
              <w:spacing w:after="16" w:line="259" w:lineRule="auto"/>
              <w:ind w:left="0" w:right="0" w:firstLine="0"/>
              <w:jc w:val="left"/>
            </w:pPr>
            <w:r>
              <w:rPr>
                <w:sz w:val="20"/>
              </w:rPr>
              <w:t xml:space="preserve">Table </w:t>
            </w:r>
            <w:r>
              <w:rPr>
                <w:sz w:val="20"/>
              </w:rPr>
              <w:tab/>
              <w:t xml:space="preserve">complète </w:t>
            </w:r>
          </w:p>
          <w:p w14:paraId="38E8113E" w14:textId="77777777" w:rsidR="00CD748F" w:rsidRDefault="00426F7E">
            <w:pPr>
              <w:spacing w:after="0" w:line="259" w:lineRule="auto"/>
              <w:ind w:left="101" w:right="0" w:firstLine="0"/>
              <w:jc w:val="left"/>
            </w:pPr>
            <w:r>
              <w:rPr>
                <w:sz w:val="20"/>
              </w:rPr>
              <w:t>mouvements/dépenses</w:t>
            </w:r>
            <w:r>
              <w:t xml:space="preserve"> </w:t>
            </w:r>
          </w:p>
        </w:tc>
        <w:tc>
          <w:tcPr>
            <w:tcW w:w="1769" w:type="dxa"/>
            <w:tcBorders>
              <w:top w:val="single" w:sz="4" w:space="0" w:color="000000"/>
              <w:left w:val="single" w:sz="4" w:space="0" w:color="000000"/>
              <w:bottom w:val="single" w:sz="33" w:space="0" w:color="EEF3F7"/>
              <w:right w:val="single" w:sz="4" w:space="0" w:color="000000"/>
            </w:tcBorders>
            <w:vAlign w:val="center"/>
          </w:tcPr>
          <w:p w14:paraId="39EA453A" w14:textId="77777777" w:rsidR="00CD748F" w:rsidRDefault="00426F7E">
            <w:pPr>
              <w:spacing w:after="0" w:line="259" w:lineRule="auto"/>
              <w:ind w:left="100" w:right="0" w:firstLine="0"/>
              <w:jc w:val="left"/>
            </w:pPr>
            <w:r>
              <w:rPr>
                <w:sz w:val="20"/>
              </w:rPr>
              <w:t>MEF/Cour</w:t>
            </w:r>
            <w:r>
              <w:t xml:space="preserve"> </w:t>
            </w:r>
          </w:p>
        </w:tc>
      </w:tr>
      <w:tr w:rsidR="00CD748F" w14:paraId="4FC34AFC" w14:textId="77777777">
        <w:trPr>
          <w:trHeight w:val="1083"/>
        </w:trPr>
        <w:tc>
          <w:tcPr>
            <w:tcW w:w="500"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09B4159C" w14:textId="77777777" w:rsidR="00CD748F" w:rsidRDefault="00426F7E">
            <w:pPr>
              <w:spacing w:after="0" w:line="259" w:lineRule="auto"/>
              <w:ind w:left="99" w:right="0" w:firstLine="0"/>
              <w:jc w:val="left"/>
            </w:pPr>
            <w:r>
              <w:rPr>
                <w:sz w:val="20"/>
              </w:rPr>
              <w:t>A7</w:t>
            </w:r>
            <w:r>
              <w:t xml:space="preserve"> </w:t>
            </w:r>
          </w:p>
        </w:tc>
        <w:tc>
          <w:tcPr>
            <w:tcW w:w="1582"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5CADB9A4" w14:textId="77777777" w:rsidR="00CD748F" w:rsidRDefault="00426F7E">
            <w:pPr>
              <w:spacing w:after="0" w:line="259" w:lineRule="auto"/>
              <w:ind w:left="101" w:right="0" w:firstLine="0"/>
              <w:jc w:val="left"/>
            </w:pPr>
            <w:r>
              <w:rPr>
                <w:sz w:val="20"/>
              </w:rPr>
              <w:t>Al Haouz</w:t>
            </w:r>
            <w:r>
              <w:t xml:space="preserve"> </w:t>
            </w:r>
          </w:p>
        </w:tc>
        <w:tc>
          <w:tcPr>
            <w:tcW w:w="1529" w:type="dxa"/>
            <w:tcBorders>
              <w:top w:val="single" w:sz="33" w:space="0" w:color="EEF3F7"/>
              <w:left w:val="single" w:sz="4" w:space="0" w:color="000000"/>
              <w:bottom w:val="single" w:sz="4" w:space="0" w:color="000000"/>
              <w:right w:val="single" w:sz="4" w:space="0" w:color="000000"/>
            </w:tcBorders>
            <w:shd w:val="clear" w:color="auto" w:fill="EEF3F7"/>
          </w:tcPr>
          <w:p w14:paraId="0FB7BCB8" w14:textId="77777777" w:rsidR="00CD748F" w:rsidRDefault="00426F7E">
            <w:pPr>
              <w:spacing w:after="28" w:line="240" w:lineRule="auto"/>
              <w:ind w:left="101" w:right="102" w:firstLine="0"/>
            </w:pPr>
            <w:r>
              <w:rPr>
                <w:sz w:val="20"/>
              </w:rPr>
              <w:t xml:space="preserve">120 Md programme vs &gt;9,5 Md à oct. </w:t>
            </w:r>
          </w:p>
          <w:p w14:paraId="16CFA727" w14:textId="77777777" w:rsidR="00CD748F" w:rsidRDefault="00426F7E">
            <w:pPr>
              <w:spacing w:after="0" w:line="259" w:lineRule="auto"/>
              <w:ind w:left="101" w:right="0" w:firstLine="0"/>
              <w:jc w:val="left"/>
            </w:pPr>
            <w:r>
              <w:rPr>
                <w:sz w:val="20"/>
              </w:rPr>
              <w:t>2024</w:t>
            </w:r>
            <w:r>
              <w:t xml:space="preserve"> </w:t>
            </w:r>
          </w:p>
        </w:tc>
        <w:tc>
          <w:tcPr>
            <w:tcW w:w="1225" w:type="dxa"/>
            <w:tcBorders>
              <w:top w:val="single" w:sz="33" w:space="0" w:color="EEF3F7"/>
              <w:left w:val="single" w:sz="4" w:space="0" w:color="000000"/>
              <w:bottom w:val="single" w:sz="4" w:space="0" w:color="000000"/>
              <w:right w:val="nil"/>
            </w:tcBorders>
            <w:shd w:val="clear" w:color="auto" w:fill="EEF3F7"/>
            <w:vAlign w:val="center"/>
          </w:tcPr>
          <w:p w14:paraId="374C4182" w14:textId="77777777" w:rsidR="00CD748F" w:rsidRDefault="00426F7E">
            <w:pPr>
              <w:spacing w:after="0" w:line="259" w:lineRule="auto"/>
              <w:ind w:left="101" w:right="0" w:firstLine="0"/>
              <w:jc w:val="left"/>
            </w:pPr>
            <w:r>
              <w:rPr>
                <w:sz w:val="20"/>
              </w:rPr>
              <w:t xml:space="preserve">Enveloppe </w:t>
            </w:r>
            <w:r>
              <w:rPr>
                <w:sz w:val="20"/>
              </w:rPr>
              <w:t>dépense</w:t>
            </w:r>
            <w:r>
              <w:t xml:space="preserve"> </w:t>
            </w:r>
          </w:p>
        </w:tc>
        <w:tc>
          <w:tcPr>
            <w:tcW w:w="431" w:type="dxa"/>
            <w:tcBorders>
              <w:top w:val="single" w:sz="33" w:space="0" w:color="EEF3F7"/>
              <w:left w:val="nil"/>
              <w:bottom w:val="single" w:sz="4" w:space="0" w:color="000000"/>
              <w:right w:val="single" w:sz="4" w:space="0" w:color="000000"/>
            </w:tcBorders>
            <w:shd w:val="clear" w:color="auto" w:fill="EEF3F7"/>
          </w:tcPr>
          <w:p w14:paraId="0379F6DD" w14:textId="77777777" w:rsidR="00CD748F" w:rsidRDefault="00426F7E">
            <w:pPr>
              <w:spacing w:after="0" w:line="259" w:lineRule="auto"/>
              <w:ind w:left="0" w:right="102" w:firstLine="0"/>
              <w:jc w:val="right"/>
            </w:pPr>
            <w:r>
              <w:rPr>
                <w:sz w:val="20"/>
              </w:rPr>
              <w:t xml:space="preserve">≠ </w:t>
            </w:r>
          </w:p>
        </w:tc>
        <w:tc>
          <w:tcPr>
            <w:tcW w:w="2925"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79003F91" w14:textId="77777777" w:rsidR="00CD748F" w:rsidRDefault="00426F7E">
            <w:pPr>
              <w:spacing w:after="0" w:line="259" w:lineRule="auto"/>
              <w:ind w:left="101" w:right="0" w:firstLine="0"/>
              <w:jc w:val="left"/>
            </w:pPr>
            <w:r>
              <w:rPr>
                <w:sz w:val="20"/>
              </w:rPr>
              <w:t>Comptabilité Fonds + projets</w:t>
            </w:r>
            <w:r>
              <w:t xml:space="preserve"> </w:t>
            </w:r>
          </w:p>
        </w:tc>
        <w:tc>
          <w:tcPr>
            <w:tcW w:w="1769"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1993A23A" w14:textId="77777777" w:rsidR="00CD748F" w:rsidRDefault="00426F7E">
            <w:pPr>
              <w:spacing w:after="0" w:line="259" w:lineRule="auto"/>
              <w:ind w:left="100" w:right="0" w:firstLine="0"/>
              <w:jc w:val="left"/>
            </w:pPr>
            <w:r>
              <w:rPr>
                <w:sz w:val="20"/>
              </w:rPr>
              <w:t>MEF / MGP</w:t>
            </w:r>
            <w:r>
              <w:t xml:space="preserve"> </w:t>
            </w:r>
          </w:p>
        </w:tc>
      </w:tr>
      <w:tr w:rsidR="00CD748F" w14:paraId="53843CE9" w14:textId="77777777">
        <w:trPr>
          <w:trHeight w:val="1213"/>
        </w:trPr>
        <w:tc>
          <w:tcPr>
            <w:tcW w:w="500" w:type="dxa"/>
            <w:tcBorders>
              <w:top w:val="single" w:sz="4" w:space="0" w:color="000000"/>
              <w:left w:val="single" w:sz="4" w:space="0" w:color="000000"/>
              <w:bottom w:val="single" w:sz="4" w:space="0" w:color="000000"/>
              <w:right w:val="single" w:sz="4" w:space="0" w:color="000000"/>
            </w:tcBorders>
            <w:vAlign w:val="center"/>
          </w:tcPr>
          <w:p w14:paraId="12207D11" w14:textId="77777777" w:rsidR="00CD748F" w:rsidRDefault="00426F7E">
            <w:pPr>
              <w:spacing w:after="0" w:line="259" w:lineRule="auto"/>
              <w:ind w:left="99" w:right="0" w:firstLine="0"/>
              <w:jc w:val="left"/>
            </w:pPr>
            <w:r>
              <w:rPr>
                <w:sz w:val="20"/>
              </w:rPr>
              <w:t>A8</w:t>
            </w:r>
            <w:r>
              <w:t xml:space="preserve"> </w:t>
            </w:r>
          </w:p>
        </w:tc>
        <w:tc>
          <w:tcPr>
            <w:tcW w:w="1582" w:type="dxa"/>
            <w:tcBorders>
              <w:top w:val="single" w:sz="4" w:space="0" w:color="000000"/>
              <w:left w:val="single" w:sz="4" w:space="0" w:color="000000"/>
              <w:bottom w:val="single" w:sz="4" w:space="0" w:color="000000"/>
              <w:right w:val="single" w:sz="4" w:space="0" w:color="000000"/>
            </w:tcBorders>
            <w:vAlign w:val="center"/>
          </w:tcPr>
          <w:p w14:paraId="036AAEA6" w14:textId="77777777" w:rsidR="00CD748F" w:rsidRDefault="00426F7E">
            <w:pPr>
              <w:spacing w:after="0" w:line="259" w:lineRule="auto"/>
              <w:ind w:left="101" w:right="0" w:firstLine="0"/>
              <w:jc w:val="left"/>
            </w:pPr>
            <w:r>
              <w:rPr>
                <w:sz w:val="20"/>
              </w:rPr>
              <w:t>Cheptel</w:t>
            </w:r>
            <w:r>
              <w:t xml:space="preserve"> </w:t>
            </w:r>
          </w:p>
        </w:tc>
        <w:tc>
          <w:tcPr>
            <w:tcW w:w="1529" w:type="dxa"/>
            <w:tcBorders>
              <w:top w:val="single" w:sz="4" w:space="0" w:color="000000"/>
              <w:left w:val="single" w:sz="4" w:space="0" w:color="000000"/>
              <w:bottom w:val="single" w:sz="4" w:space="0" w:color="000000"/>
              <w:right w:val="single" w:sz="4" w:space="0" w:color="000000"/>
            </w:tcBorders>
            <w:vAlign w:val="center"/>
          </w:tcPr>
          <w:p w14:paraId="2EBAD5FF" w14:textId="77777777" w:rsidR="00CD748F" w:rsidRDefault="00426F7E">
            <w:pPr>
              <w:spacing w:after="0" w:line="259" w:lineRule="auto"/>
              <w:ind w:left="101" w:right="102" w:firstLine="0"/>
            </w:pPr>
            <w:r>
              <w:rPr>
                <w:sz w:val="20"/>
              </w:rPr>
              <w:t>Plusieurs dispositifs agrégés dans le débat public</w:t>
            </w:r>
            <w:r>
              <w:t xml:space="preserve"> </w:t>
            </w:r>
          </w:p>
        </w:tc>
        <w:tc>
          <w:tcPr>
            <w:tcW w:w="1225" w:type="dxa"/>
            <w:tcBorders>
              <w:top w:val="single" w:sz="4" w:space="0" w:color="000000"/>
              <w:left w:val="single" w:sz="4" w:space="0" w:color="000000"/>
              <w:bottom w:val="single" w:sz="4" w:space="0" w:color="000000"/>
              <w:right w:val="nil"/>
            </w:tcBorders>
            <w:vAlign w:val="center"/>
          </w:tcPr>
          <w:p w14:paraId="50B05A3F" w14:textId="77777777" w:rsidR="00CD748F" w:rsidRDefault="00426F7E">
            <w:pPr>
              <w:spacing w:after="0" w:line="259" w:lineRule="auto"/>
              <w:ind w:left="101" w:right="0" w:firstLine="0"/>
              <w:jc w:val="left"/>
            </w:pPr>
            <w:r>
              <w:rPr>
                <w:sz w:val="20"/>
              </w:rPr>
              <w:t>Périmètre séparer</w:t>
            </w:r>
            <w:r>
              <w:t xml:space="preserve"> </w:t>
            </w:r>
          </w:p>
        </w:tc>
        <w:tc>
          <w:tcPr>
            <w:tcW w:w="431" w:type="dxa"/>
            <w:tcBorders>
              <w:top w:val="single" w:sz="4" w:space="0" w:color="000000"/>
              <w:left w:val="nil"/>
              <w:bottom w:val="single" w:sz="4" w:space="0" w:color="000000"/>
              <w:right w:val="single" w:sz="4" w:space="0" w:color="000000"/>
            </w:tcBorders>
          </w:tcPr>
          <w:p w14:paraId="18830F16" w14:textId="77777777" w:rsidR="00CD748F" w:rsidRDefault="00426F7E">
            <w:pPr>
              <w:spacing w:after="0" w:line="259" w:lineRule="auto"/>
              <w:ind w:left="0" w:right="103" w:firstLine="0"/>
              <w:jc w:val="right"/>
            </w:pPr>
            <w:r>
              <w:rPr>
                <w:sz w:val="20"/>
              </w:rPr>
              <w:t xml:space="preserve">à </w:t>
            </w:r>
          </w:p>
        </w:tc>
        <w:tc>
          <w:tcPr>
            <w:tcW w:w="2925" w:type="dxa"/>
            <w:tcBorders>
              <w:top w:val="single" w:sz="4" w:space="0" w:color="000000"/>
              <w:left w:val="single" w:sz="4" w:space="0" w:color="000000"/>
              <w:bottom w:val="single" w:sz="4" w:space="0" w:color="000000"/>
              <w:right w:val="single" w:sz="4" w:space="0" w:color="000000"/>
            </w:tcBorders>
            <w:vAlign w:val="center"/>
          </w:tcPr>
          <w:p w14:paraId="76E67D8E" w14:textId="77777777" w:rsidR="00CD748F" w:rsidRDefault="00426F7E">
            <w:pPr>
              <w:spacing w:after="0" w:line="259" w:lineRule="auto"/>
              <w:ind w:left="101" w:right="0" w:firstLine="0"/>
              <w:jc w:val="left"/>
            </w:pPr>
            <w:r>
              <w:rPr>
                <w:sz w:val="20"/>
              </w:rPr>
              <w:t>Listes nominatives + paiements</w:t>
            </w:r>
            <w:r>
              <w:t xml:space="preserve"> </w:t>
            </w:r>
          </w:p>
        </w:tc>
        <w:tc>
          <w:tcPr>
            <w:tcW w:w="1769" w:type="dxa"/>
            <w:tcBorders>
              <w:top w:val="single" w:sz="4" w:space="0" w:color="000000"/>
              <w:left w:val="single" w:sz="4" w:space="0" w:color="000000"/>
              <w:bottom w:val="single" w:sz="33" w:space="0" w:color="EEF3F7"/>
              <w:right w:val="single" w:sz="4" w:space="0" w:color="000000"/>
            </w:tcBorders>
            <w:vAlign w:val="center"/>
          </w:tcPr>
          <w:p w14:paraId="036BA421" w14:textId="77777777" w:rsidR="00CD748F" w:rsidRDefault="00426F7E">
            <w:pPr>
              <w:spacing w:after="0" w:line="259" w:lineRule="auto"/>
              <w:ind w:left="100" w:right="0" w:firstLine="0"/>
              <w:jc w:val="left"/>
            </w:pPr>
            <w:r>
              <w:rPr>
                <w:sz w:val="20"/>
              </w:rPr>
              <w:t>Agriculture/MEF</w:t>
            </w:r>
            <w:r>
              <w:t xml:space="preserve"> </w:t>
            </w:r>
          </w:p>
        </w:tc>
      </w:tr>
      <w:tr w:rsidR="00CD748F" w14:paraId="79A8C9A6" w14:textId="77777777">
        <w:trPr>
          <w:trHeight w:val="848"/>
        </w:trPr>
        <w:tc>
          <w:tcPr>
            <w:tcW w:w="500"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132195F5" w14:textId="77777777" w:rsidR="00CD748F" w:rsidRDefault="00426F7E">
            <w:pPr>
              <w:spacing w:after="0" w:line="259" w:lineRule="auto"/>
              <w:ind w:left="99" w:right="0" w:firstLine="0"/>
              <w:jc w:val="left"/>
            </w:pPr>
            <w:r>
              <w:rPr>
                <w:sz w:val="20"/>
              </w:rPr>
              <w:t>A9</w:t>
            </w:r>
            <w:r>
              <w:t xml:space="preserve"> </w:t>
            </w:r>
          </w:p>
        </w:tc>
        <w:tc>
          <w:tcPr>
            <w:tcW w:w="1582"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0A828D48" w14:textId="77777777" w:rsidR="00CD748F" w:rsidRDefault="00426F7E">
            <w:pPr>
              <w:spacing w:after="0" w:line="259" w:lineRule="auto"/>
              <w:ind w:left="101" w:right="0" w:firstLine="0"/>
              <w:jc w:val="left"/>
            </w:pPr>
            <w:r>
              <w:rPr>
                <w:sz w:val="20"/>
              </w:rPr>
              <w:t>Badel</w:t>
            </w:r>
            <w:r>
              <w:t xml:space="preserve"> </w:t>
            </w:r>
          </w:p>
        </w:tc>
        <w:tc>
          <w:tcPr>
            <w:tcW w:w="1529" w:type="dxa"/>
            <w:tcBorders>
              <w:top w:val="single" w:sz="4" w:space="0" w:color="000000"/>
              <w:left w:val="single" w:sz="4" w:space="0" w:color="000000"/>
              <w:bottom w:val="single" w:sz="4" w:space="0" w:color="000000"/>
              <w:right w:val="single" w:sz="4" w:space="0" w:color="000000"/>
            </w:tcBorders>
            <w:shd w:val="clear" w:color="auto" w:fill="EEF3F7"/>
          </w:tcPr>
          <w:p w14:paraId="4D72BC40" w14:textId="77777777" w:rsidR="00CD748F" w:rsidRDefault="00426F7E">
            <w:pPr>
              <w:spacing w:after="0" w:line="259" w:lineRule="auto"/>
              <w:ind w:left="101" w:right="100" w:firstLine="0"/>
            </w:pPr>
            <w:r>
              <w:rPr>
                <w:sz w:val="20"/>
              </w:rPr>
              <w:t>~30 MDH allégués par médias</w:t>
            </w:r>
            <w:r>
              <w:t xml:space="preserve"> </w:t>
            </w:r>
          </w:p>
        </w:tc>
        <w:tc>
          <w:tcPr>
            <w:tcW w:w="1225" w:type="dxa"/>
            <w:tcBorders>
              <w:top w:val="single" w:sz="4" w:space="0" w:color="000000"/>
              <w:left w:val="single" w:sz="4" w:space="0" w:color="000000"/>
              <w:bottom w:val="single" w:sz="4" w:space="0" w:color="000000"/>
              <w:right w:val="nil"/>
            </w:tcBorders>
            <w:shd w:val="clear" w:color="auto" w:fill="EEF3F7"/>
            <w:vAlign w:val="center"/>
          </w:tcPr>
          <w:p w14:paraId="45ACCCD3" w14:textId="77777777" w:rsidR="00CD748F" w:rsidRDefault="00426F7E">
            <w:pPr>
              <w:spacing w:after="0" w:line="259" w:lineRule="auto"/>
              <w:ind w:left="101" w:right="0" w:firstLine="0"/>
              <w:jc w:val="left"/>
            </w:pPr>
            <w:r>
              <w:rPr>
                <w:sz w:val="20"/>
              </w:rPr>
              <w:t>Allégation établie</w:t>
            </w:r>
            <w:r>
              <w:t xml:space="preserve"> </w:t>
            </w:r>
          </w:p>
        </w:tc>
        <w:tc>
          <w:tcPr>
            <w:tcW w:w="431" w:type="dxa"/>
            <w:tcBorders>
              <w:top w:val="single" w:sz="4" w:space="0" w:color="000000"/>
              <w:left w:val="nil"/>
              <w:bottom w:val="single" w:sz="4" w:space="0" w:color="000000"/>
              <w:right w:val="single" w:sz="4" w:space="0" w:color="000000"/>
            </w:tcBorders>
            <w:shd w:val="clear" w:color="auto" w:fill="EEF3F7"/>
          </w:tcPr>
          <w:p w14:paraId="113A91DF" w14:textId="77777777" w:rsidR="00CD748F" w:rsidRDefault="00426F7E">
            <w:pPr>
              <w:spacing w:after="0" w:line="259" w:lineRule="auto"/>
              <w:ind w:left="0" w:right="0" w:firstLine="0"/>
            </w:pPr>
            <w:r>
              <w:rPr>
                <w:sz w:val="20"/>
              </w:rPr>
              <w:t xml:space="preserve">non </w:t>
            </w:r>
          </w:p>
        </w:tc>
        <w:tc>
          <w:tcPr>
            <w:tcW w:w="2925"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0EFADBFA" w14:textId="77777777" w:rsidR="00CD748F" w:rsidRDefault="00426F7E">
            <w:pPr>
              <w:tabs>
                <w:tab w:val="right" w:pos="2925"/>
              </w:tabs>
              <w:spacing w:after="16" w:line="259" w:lineRule="auto"/>
              <w:ind w:left="0" w:right="0" w:firstLine="0"/>
              <w:jc w:val="left"/>
            </w:pPr>
            <w:r>
              <w:rPr>
                <w:sz w:val="20"/>
              </w:rPr>
              <w:t xml:space="preserve">Paiements, </w:t>
            </w:r>
            <w:r>
              <w:rPr>
                <w:sz w:val="20"/>
              </w:rPr>
              <w:tab/>
              <w:t xml:space="preserve">importations, </w:t>
            </w:r>
          </w:p>
          <w:p w14:paraId="48D5AFA1" w14:textId="77777777" w:rsidR="00CD748F" w:rsidRDefault="00426F7E">
            <w:pPr>
              <w:spacing w:after="0" w:line="259" w:lineRule="auto"/>
              <w:ind w:left="101" w:right="0" w:firstLine="0"/>
              <w:jc w:val="left"/>
            </w:pPr>
            <w:r>
              <w:rPr>
                <w:sz w:val="20"/>
              </w:rPr>
              <w:t>bénéficiaire effectif</w:t>
            </w:r>
            <w:r>
              <w:t xml:space="preserve"> </w:t>
            </w:r>
          </w:p>
        </w:tc>
        <w:tc>
          <w:tcPr>
            <w:tcW w:w="1769"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48BF9AF7" w14:textId="77777777" w:rsidR="00CD748F" w:rsidRDefault="00426F7E">
            <w:pPr>
              <w:spacing w:after="0" w:line="259" w:lineRule="auto"/>
              <w:ind w:left="100" w:right="0" w:firstLine="0"/>
              <w:jc w:val="left"/>
            </w:pPr>
            <w:r>
              <w:rPr>
                <w:sz w:val="20"/>
              </w:rPr>
              <w:t>MEF/Douanes</w:t>
            </w:r>
            <w:r>
              <w:t xml:space="preserve"> </w:t>
            </w:r>
          </w:p>
        </w:tc>
      </w:tr>
      <w:tr w:rsidR="00CD748F" w14:paraId="4DBE4386" w14:textId="77777777">
        <w:trPr>
          <w:trHeight w:val="1214"/>
        </w:trPr>
        <w:tc>
          <w:tcPr>
            <w:tcW w:w="500" w:type="dxa"/>
            <w:tcBorders>
              <w:top w:val="single" w:sz="4" w:space="0" w:color="000000"/>
              <w:left w:val="single" w:sz="4" w:space="0" w:color="000000"/>
              <w:bottom w:val="single" w:sz="4" w:space="0" w:color="000000"/>
              <w:right w:val="single" w:sz="4" w:space="0" w:color="000000"/>
            </w:tcBorders>
            <w:vAlign w:val="center"/>
          </w:tcPr>
          <w:p w14:paraId="5B4CCFED" w14:textId="77777777" w:rsidR="00CD748F" w:rsidRDefault="00426F7E">
            <w:pPr>
              <w:spacing w:after="0" w:line="259" w:lineRule="auto"/>
              <w:ind w:left="99" w:right="55" w:firstLine="0"/>
              <w:jc w:val="left"/>
            </w:pPr>
            <w:r>
              <w:rPr>
                <w:sz w:val="20"/>
              </w:rPr>
              <w:t>A1 0</w:t>
            </w:r>
            <w:r>
              <w:t xml:space="preserve"> </w:t>
            </w:r>
          </w:p>
        </w:tc>
        <w:tc>
          <w:tcPr>
            <w:tcW w:w="1582" w:type="dxa"/>
            <w:tcBorders>
              <w:top w:val="single" w:sz="4" w:space="0" w:color="000000"/>
              <w:left w:val="single" w:sz="4" w:space="0" w:color="000000"/>
              <w:bottom w:val="single" w:sz="4" w:space="0" w:color="000000"/>
              <w:right w:val="single" w:sz="4" w:space="0" w:color="000000"/>
            </w:tcBorders>
            <w:vAlign w:val="center"/>
          </w:tcPr>
          <w:p w14:paraId="2CD1A338" w14:textId="77777777" w:rsidR="00CD748F" w:rsidRDefault="00426F7E">
            <w:pPr>
              <w:spacing w:after="0" w:line="259" w:lineRule="auto"/>
              <w:ind w:left="101" w:right="0" w:firstLine="0"/>
              <w:jc w:val="left"/>
            </w:pPr>
            <w:r>
              <w:rPr>
                <w:sz w:val="20"/>
              </w:rPr>
              <w:t>Touhtouh</w:t>
            </w:r>
            <w:r>
              <w:t xml:space="preserve"> </w:t>
            </w:r>
          </w:p>
        </w:tc>
        <w:tc>
          <w:tcPr>
            <w:tcW w:w="1529" w:type="dxa"/>
            <w:tcBorders>
              <w:top w:val="single" w:sz="4" w:space="0" w:color="000000"/>
              <w:left w:val="single" w:sz="4" w:space="0" w:color="000000"/>
              <w:bottom w:val="single" w:sz="4" w:space="0" w:color="000000"/>
              <w:right w:val="single" w:sz="4" w:space="0" w:color="000000"/>
            </w:tcBorders>
            <w:vAlign w:val="center"/>
          </w:tcPr>
          <w:p w14:paraId="016F794F" w14:textId="77777777" w:rsidR="00CD748F" w:rsidRDefault="00426F7E">
            <w:pPr>
              <w:spacing w:after="0" w:line="259" w:lineRule="auto"/>
              <w:ind w:left="101" w:right="79" w:firstLine="0"/>
              <w:jc w:val="left"/>
            </w:pPr>
            <w:r>
              <w:rPr>
                <w:sz w:val="20"/>
              </w:rPr>
              <w:t>Controverse sur importation ovine</w:t>
            </w:r>
            <w:r>
              <w:t xml:space="preserve"> </w:t>
            </w:r>
          </w:p>
        </w:tc>
        <w:tc>
          <w:tcPr>
            <w:tcW w:w="1225" w:type="dxa"/>
            <w:tcBorders>
              <w:top w:val="single" w:sz="4" w:space="0" w:color="000000"/>
              <w:left w:val="single" w:sz="4" w:space="0" w:color="000000"/>
              <w:bottom w:val="single" w:sz="4" w:space="0" w:color="000000"/>
              <w:right w:val="nil"/>
            </w:tcBorders>
            <w:vAlign w:val="center"/>
          </w:tcPr>
          <w:p w14:paraId="2C8D76A2" w14:textId="77777777" w:rsidR="00CD748F" w:rsidRDefault="00426F7E">
            <w:pPr>
              <w:spacing w:after="0" w:line="259" w:lineRule="auto"/>
              <w:ind w:left="101" w:right="0" w:firstLine="0"/>
              <w:jc w:val="left"/>
            </w:pPr>
            <w:r>
              <w:rPr>
                <w:sz w:val="20"/>
              </w:rPr>
              <w:t>Allégation établie</w:t>
            </w:r>
            <w:r>
              <w:t xml:space="preserve"> </w:t>
            </w:r>
          </w:p>
        </w:tc>
        <w:tc>
          <w:tcPr>
            <w:tcW w:w="431" w:type="dxa"/>
            <w:tcBorders>
              <w:top w:val="single" w:sz="4" w:space="0" w:color="000000"/>
              <w:left w:val="nil"/>
              <w:bottom w:val="single" w:sz="4" w:space="0" w:color="000000"/>
              <w:right w:val="single" w:sz="4" w:space="0" w:color="000000"/>
            </w:tcBorders>
          </w:tcPr>
          <w:p w14:paraId="4A0D01C3" w14:textId="77777777" w:rsidR="00CD748F" w:rsidRDefault="00426F7E">
            <w:pPr>
              <w:spacing w:after="0" w:line="259" w:lineRule="auto"/>
              <w:ind w:left="0" w:right="0" w:firstLine="0"/>
            </w:pPr>
            <w:r>
              <w:rPr>
                <w:sz w:val="20"/>
              </w:rPr>
              <w:t xml:space="preserve">non </w:t>
            </w:r>
          </w:p>
        </w:tc>
        <w:tc>
          <w:tcPr>
            <w:tcW w:w="2925" w:type="dxa"/>
            <w:tcBorders>
              <w:top w:val="single" w:sz="4" w:space="0" w:color="000000"/>
              <w:left w:val="single" w:sz="4" w:space="0" w:color="000000"/>
              <w:bottom w:val="single" w:sz="4" w:space="0" w:color="000000"/>
              <w:right w:val="single" w:sz="4" w:space="0" w:color="000000"/>
            </w:tcBorders>
            <w:vAlign w:val="center"/>
          </w:tcPr>
          <w:p w14:paraId="7009842B" w14:textId="77777777" w:rsidR="00CD748F" w:rsidRDefault="00426F7E">
            <w:pPr>
              <w:spacing w:after="0" w:line="259" w:lineRule="auto"/>
              <w:ind w:left="101" w:right="0" w:firstLine="0"/>
              <w:jc w:val="left"/>
            </w:pPr>
            <w:r>
              <w:rPr>
                <w:sz w:val="20"/>
              </w:rPr>
              <w:t>Droit d’importation et flux</w:t>
            </w:r>
            <w:r>
              <w:t xml:space="preserve"> </w:t>
            </w:r>
          </w:p>
        </w:tc>
        <w:tc>
          <w:tcPr>
            <w:tcW w:w="1769" w:type="dxa"/>
            <w:tcBorders>
              <w:top w:val="single" w:sz="4" w:space="0" w:color="000000"/>
              <w:left w:val="single" w:sz="4" w:space="0" w:color="000000"/>
              <w:bottom w:val="single" w:sz="33" w:space="0" w:color="EEF3F7"/>
              <w:right w:val="single" w:sz="4" w:space="0" w:color="000000"/>
            </w:tcBorders>
            <w:vAlign w:val="center"/>
          </w:tcPr>
          <w:p w14:paraId="3820648D" w14:textId="77777777" w:rsidR="00CD748F" w:rsidRDefault="00426F7E">
            <w:pPr>
              <w:spacing w:after="0" w:line="259" w:lineRule="auto"/>
              <w:ind w:left="100" w:right="0" w:firstLine="0"/>
              <w:jc w:val="left"/>
            </w:pPr>
            <w:r>
              <w:rPr>
                <w:sz w:val="20"/>
              </w:rPr>
              <w:t>Agriculture/Doua nes</w:t>
            </w:r>
            <w:r>
              <w:t xml:space="preserve"> </w:t>
            </w:r>
          </w:p>
        </w:tc>
      </w:tr>
      <w:tr w:rsidR="00CD748F" w14:paraId="2D6A10D3" w14:textId="77777777">
        <w:trPr>
          <w:trHeight w:val="1318"/>
        </w:trPr>
        <w:tc>
          <w:tcPr>
            <w:tcW w:w="500"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17313E67" w14:textId="77777777" w:rsidR="00CD748F" w:rsidRDefault="00426F7E">
            <w:pPr>
              <w:spacing w:after="0" w:line="259" w:lineRule="auto"/>
              <w:ind w:left="99" w:right="55" w:firstLine="0"/>
              <w:jc w:val="left"/>
            </w:pPr>
            <w:r>
              <w:rPr>
                <w:sz w:val="20"/>
              </w:rPr>
              <w:t>A1 1</w:t>
            </w:r>
            <w:r>
              <w:t xml:space="preserve"> </w:t>
            </w:r>
          </w:p>
        </w:tc>
        <w:tc>
          <w:tcPr>
            <w:tcW w:w="1582"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5733BD46" w14:textId="77777777" w:rsidR="00CD748F" w:rsidRDefault="00426F7E">
            <w:pPr>
              <w:spacing w:after="0" w:line="259" w:lineRule="auto"/>
              <w:ind w:left="101" w:right="0" w:firstLine="0"/>
              <w:jc w:val="left"/>
            </w:pPr>
            <w:r>
              <w:rPr>
                <w:sz w:val="20"/>
              </w:rPr>
              <w:t>Foncier Océan</w:t>
            </w:r>
            <w:r>
              <w:t xml:space="preserve"> </w:t>
            </w:r>
          </w:p>
        </w:tc>
        <w:tc>
          <w:tcPr>
            <w:tcW w:w="1529" w:type="dxa"/>
            <w:tcBorders>
              <w:top w:val="single" w:sz="4" w:space="0" w:color="000000"/>
              <w:left w:val="single" w:sz="4" w:space="0" w:color="000000"/>
              <w:bottom w:val="single" w:sz="4" w:space="0" w:color="000000"/>
              <w:right w:val="single" w:sz="4" w:space="0" w:color="000000"/>
            </w:tcBorders>
            <w:shd w:val="clear" w:color="auto" w:fill="EEF3F7"/>
          </w:tcPr>
          <w:p w14:paraId="76F107AF" w14:textId="77777777" w:rsidR="00CD748F" w:rsidRDefault="00426F7E">
            <w:pPr>
              <w:spacing w:after="0" w:line="259" w:lineRule="auto"/>
              <w:ind w:left="101" w:right="0" w:firstLine="0"/>
              <w:jc w:val="left"/>
            </w:pPr>
            <w:r>
              <w:rPr>
                <w:sz w:val="20"/>
              </w:rPr>
              <w:t xml:space="preserve">Rumeur </w:t>
            </w:r>
            <w:r>
              <w:rPr>
                <w:sz w:val="20"/>
              </w:rPr>
              <w:tab/>
              <w:t xml:space="preserve">de vente </w:t>
            </w:r>
            <w:r>
              <w:rPr>
                <w:sz w:val="20"/>
              </w:rPr>
              <w:tab/>
              <w:t>privée contredite par réponse ministérielle</w:t>
            </w:r>
            <w:r>
              <w:t xml:space="preserve"> </w:t>
            </w:r>
          </w:p>
        </w:tc>
        <w:tc>
          <w:tcPr>
            <w:tcW w:w="1656" w:type="dxa"/>
            <w:gridSpan w:val="2"/>
            <w:tcBorders>
              <w:top w:val="single" w:sz="4" w:space="0" w:color="000000"/>
              <w:left w:val="single" w:sz="4" w:space="0" w:color="000000"/>
              <w:bottom w:val="single" w:sz="4" w:space="0" w:color="000000"/>
              <w:right w:val="single" w:sz="4" w:space="0" w:color="000000"/>
            </w:tcBorders>
            <w:shd w:val="clear" w:color="auto" w:fill="EEF3F7"/>
            <w:vAlign w:val="center"/>
          </w:tcPr>
          <w:p w14:paraId="17C0BBF0" w14:textId="77777777" w:rsidR="00CD748F" w:rsidRDefault="00426F7E">
            <w:pPr>
              <w:spacing w:after="0" w:line="259" w:lineRule="auto"/>
              <w:ind w:left="101" w:right="0" w:firstLine="0"/>
              <w:jc w:val="left"/>
            </w:pPr>
            <w:r>
              <w:rPr>
                <w:sz w:val="20"/>
              </w:rPr>
              <w:t xml:space="preserve">Controverse </w:t>
            </w:r>
            <w:r>
              <w:rPr>
                <w:sz w:val="20"/>
              </w:rPr>
              <w:tab/>
              <w:t xml:space="preserve">à vérifier, </w:t>
            </w:r>
            <w:r>
              <w:rPr>
                <w:sz w:val="20"/>
              </w:rPr>
              <w:tab/>
              <w:t>vente non établie</w:t>
            </w:r>
            <w:r>
              <w:t xml:space="preserve"> </w:t>
            </w:r>
          </w:p>
        </w:tc>
        <w:tc>
          <w:tcPr>
            <w:tcW w:w="2925"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57F6A74D" w14:textId="77777777" w:rsidR="00CD748F" w:rsidRDefault="00426F7E">
            <w:pPr>
              <w:tabs>
                <w:tab w:val="center" w:pos="1215"/>
                <w:tab w:val="center" w:pos="1994"/>
                <w:tab w:val="right" w:pos="2925"/>
              </w:tabs>
              <w:spacing w:after="16" w:line="259" w:lineRule="auto"/>
              <w:ind w:left="0" w:right="0" w:firstLine="0"/>
              <w:jc w:val="left"/>
            </w:pPr>
            <w:r>
              <w:rPr>
                <w:sz w:val="20"/>
              </w:rPr>
              <w:t xml:space="preserve">Titre </w:t>
            </w:r>
            <w:r>
              <w:rPr>
                <w:sz w:val="20"/>
              </w:rPr>
              <w:tab/>
              <w:t xml:space="preserve">foncier </w:t>
            </w:r>
            <w:r>
              <w:rPr>
                <w:sz w:val="20"/>
              </w:rPr>
              <w:tab/>
              <w:t xml:space="preserve">et </w:t>
            </w:r>
            <w:r>
              <w:rPr>
                <w:sz w:val="20"/>
              </w:rPr>
              <w:tab/>
              <w:t xml:space="preserve">acte </w:t>
            </w:r>
          </w:p>
          <w:p w14:paraId="2C7D08E5" w14:textId="77777777" w:rsidR="00CD748F" w:rsidRDefault="00426F7E">
            <w:pPr>
              <w:spacing w:after="0" w:line="259" w:lineRule="auto"/>
              <w:ind w:left="101" w:right="0" w:firstLine="0"/>
              <w:jc w:val="left"/>
            </w:pPr>
            <w:r>
              <w:rPr>
                <w:sz w:val="20"/>
              </w:rPr>
              <w:t>d’affectation</w:t>
            </w:r>
            <w:r>
              <w:t xml:space="preserve"> </w:t>
            </w:r>
          </w:p>
        </w:tc>
        <w:tc>
          <w:tcPr>
            <w:tcW w:w="1769"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53CAFD73" w14:textId="77777777" w:rsidR="00CD748F" w:rsidRDefault="00426F7E">
            <w:pPr>
              <w:spacing w:after="0" w:line="259" w:lineRule="auto"/>
              <w:ind w:left="100" w:right="0" w:firstLine="0"/>
              <w:jc w:val="left"/>
            </w:pPr>
            <w:r>
              <w:rPr>
                <w:sz w:val="20"/>
              </w:rPr>
              <w:t>Éducation/Domai ne</w:t>
            </w:r>
            <w:r>
              <w:t xml:space="preserve"> </w:t>
            </w:r>
          </w:p>
        </w:tc>
      </w:tr>
      <w:tr w:rsidR="00CD748F" w14:paraId="17A8B0C7" w14:textId="77777777">
        <w:trPr>
          <w:trHeight w:val="342"/>
        </w:trPr>
        <w:tc>
          <w:tcPr>
            <w:tcW w:w="500" w:type="dxa"/>
            <w:tcBorders>
              <w:top w:val="single" w:sz="4" w:space="0" w:color="000000"/>
              <w:left w:val="single" w:sz="4" w:space="0" w:color="000000"/>
              <w:bottom w:val="single" w:sz="4" w:space="0" w:color="000000"/>
              <w:right w:val="single" w:sz="4" w:space="0" w:color="000000"/>
            </w:tcBorders>
            <w:shd w:val="clear" w:color="auto" w:fill="163A5F"/>
          </w:tcPr>
          <w:p w14:paraId="591445A5" w14:textId="77777777" w:rsidR="00CD748F" w:rsidRDefault="00426F7E">
            <w:pPr>
              <w:spacing w:after="0" w:line="259" w:lineRule="auto"/>
              <w:ind w:left="0" w:right="0" w:firstLine="0"/>
              <w:jc w:val="left"/>
            </w:pPr>
            <w:r>
              <w:rPr>
                <w:b/>
                <w:color w:val="FFFFFF"/>
                <w:sz w:val="20"/>
              </w:rPr>
              <w:t>ID</w:t>
            </w:r>
            <w:r>
              <w:rPr>
                <w:color w:val="FFFFFF"/>
              </w:rPr>
              <w:t xml:space="preserve"> </w:t>
            </w:r>
          </w:p>
        </w:tc>
        <w:tc>
          <w:tcPr>
            <w:tcW w:w="1582" w:type="dxa"/>
            <w:tcBorders>
              <w:top w:val="single" w:sz="4" w:space="0" w:color="000000"/>
              <w:left w:val="single" w:sz="4" w:space="0" w:color="000000"/>
              <w:bottom w:val="single" w:sz="4" w:space="0" w:color="000000"/>
              <w:right w:val="single" w:sz="4" w:space="0" w:color="000000"/>
            </w:tcBorders>
            <w:shd w:val="clear" w:color="auto" w:fill="163A5F"/>
          </w:tcPr>
          <w:p w14:paraId="79C0A05B" w14:textId="77777777" w:rsidR="00CD748F" w:rsidRDefault="00426F7E">
            <w:pPr>
              <w:spacing w:after="0" w:line="259" w:lineRule="auto"/>
              <w:ind w:left="2" w:right="0" w:firstLine="0"/>
              <w:jc w:val="left"/>
            </w:pPr>
            <w:r>
              <w:rPr>
                <w:b/>
                <w:color w:val="FFFFFF"/>
                <w:sz w:val="20"/>
              </w:rPr>
              <w:t>Dossier</w:t>
            </w:r>
            <w:r>
              <w:rPr>
                <w:color w:val="FFFFFF"/>
              </w:rPr>
              <w:t xml:space="preserve"> </w:t>
            </w:r>
          </w:p>
        </w:tc>
        <w:tc>
          <w:tcPr>
            <w:tcW w:w="1529" w:type="dxa"/>
            <w:tcBorders>
              <w:top w:val="single" w:sz="4" w:space="0" w:color="000000"/>
              <w:left w:val="single" w:sz="4" w:space="0" w:color="000000"/>
              <w:bottom w:val="single" w:sz="4" w:space="0" w:color="000000"/>
              <w:right w:val="single" w:sz="4" w:space="0" w:color="000000"/>
            </w:tcBorders>
            <w:shd w:val="clear" w:color="auto" w:fill="163A5F"/>
          </w:tcPr>
          <w:p w14:paraId="6DD4C5F5" w14:textId="77777777" w:rsidR="00CD748F" w:rsidRDefault="00426F7E">
            <w:pPr>
              <w:spacing w:after="0" w:line="259" w:lineRule="auto"/>
              <w:ind w:left="2" w:right="0" w:firstLine="0"/>
              <w:jc w:val="left"/>
            </w:pPr>
            <w:r>
              <w:rPr>
                <w:b/>
                <w:color w:val="FFFFFF"/>
                <w:sz w:val="20"/>
              </w:rPr>
              <w:t>Constat</w:t>
            </w:r>
            <w:r>
              <w:rPr>
                <w:color w:val="FFFFFF"/>
              </w:rPr>
              <w:t xml:space="preserve"> </w:t>
            </w:r>
          </w:p>
        </w:tc>
        <w:tc>
          <w:tcPr>
            <w:tcW w:w="1656" w:type="dxa"/>
            <w:gridSpan w:val="2"/>
            <w:tcBorders>
              <w:top w:val="single" w:sz="4" w:space="0" w:color="000000"/>
              <w:left w:val="single" w:sz="4" w:space="0" w:color="000000"/>
              <w:bottom w:val="single" w:sz="4" w:space="0" w:color="000000"/>
              <w:right w:val="single" w:sz="4" w:space="0" w:color="000000"/>
            </w:tcBorders>
            <w:shd w:val="clear" w:color="auto" w:fill="163A5F"/>
          </w:tcPr>
          <w:p w14:paraId="16BB2E6F" w14:textId="77777777" w:rsidR="00CD748F" w:rsidRDefault="00426F7E">
            <w:pPr>
              <w:spacing w:after="0" w:line="259" w:lineRule="auto"/>
              <w:ind w:left="2" w:right="0" w:firstLine="0"/>
              <w:jc w:val="left"/>
            </w:pPr>
            <w:r>
              <w:rPr>
                <w:b/>
                <w:color w:val="FFFFFF"/>
                <w:sz w:val="20"/>
              </w:rPr>
              <w:t>Qualification</w:t>
            </w:r>
            <w:r>
              <w:rPr>
                <w:color w:val="FFFFFF"/>
              </w:rPr>
              <w:t xml:space="preserve"> </w:t>
            </w:r>
          </w:p>
        </w:tc>
        <w:tc>
          <w:tcPr>
            <w:tcW w:w="2925" w:type="dxa"/>
            <w:tcBorders>
              <w:top w:val="single" w:sz="4" w:space="0" w:color="000000"/>
              <w:left w:val="single" w:sz="4" w:space="0" w:color="000000"/>
              <w:bottom w:val="single" w:sz="4" w:space="0" w:color="000000"/>
              <w:right w:val="single" w:sz="4" w:space="0" w:color="000000"/>
            </w:tcBorders>
            <w:shd w:val="clear" w:color="auto" w:fill="163A5F"/>
          </w:tcPr>
          <w:p w14:paraId="25F1177E" w14:textId="77777777" w:rsidR="00CD748F" w:rsidRDefault="00426F7E">
            <w:pPr>
              <w:spacing w:after="0" w:line="259" w:lineRule="auto"/>
              <w:ind w:left="2" w:right="0" w:firstLine="0"/>
              <w:jc w:val="left"/>
            </w:pPr>
            <w:r>
              <w:rPr>
                <w:b/>
                <w:color w:val="FFFFFF"/>
                <w:sz w:val="20"/>
              </w:rPr>
              <w:t>Pièce prioritaire</w:t>
            </w:r>
            <w:r>
              <w:rPr>
                <w:color w:val="FFFFFF"/>
              </w:rPr>
              <w:t xml:space="preserve"> </w:t>
            </w:r>
          </w:p>
        </w:tc>
        <w:tc>
          <w:tcPr>
            <w:tcW w:w="1769" w:type="dxa"/>
            <w:tcBorders>
              <w:top w:val="single" w:sz="4" w:space="0" w:color="000000"/>
              <w:left w:val="single" w:sz="4" w:space="0" w:color="000000"/>
              <w:bottom w:val="single" w:sz="4" w:space="0" w:color="000000"/>
              <w:right w:val="single" w:sz="4" w:space="0" w:color="000000"/>
            </w:tcBorders>
            <w:shd w:val="clear" w:color="auto" w:fill="163A5F"/>
          </w:tcPr>
          <w:p w14:paraId="2D1EF4F9" w14:textId="77777777" w:rsidR="00CD748F" w:rsidRDefault="00426F7E">
            <w:pPr>
              <w:spacing w:after="0" w:line="259" w:lineRule="auto"/>
              <w:ind w:left="1" w:right="0" w:firstLine="0"/>
              <w:jc w:val="left"/>
            </w:pPr>
            <w:r>
              <w:rPr>
                <w:b/>
                <w:color w:val="FFFFFF"/>
                <w:sz w:val="20"/>
              </w:rPr>
              <w:t>Entité à entendre</w:t>
            </w:r>
            <w:r>
              <w:rPr>
                <w:color w:val="FFFFFF"/>
              </w:rPr>
              <w:t xml:space="preserve"> </w:t>
            </w:r>
          </w:p>
        </w:tc>
      </w:tr>
      <w:tr w:rsidR="00CD748F" w14:paraId="2E5269F0" w14:textId="77777777">
        <w:trPr>
          <w:trHeight w:val="1212"/>
        </w:trPr>
        <w:tc>
          <w:tcPr>
            <w:tcW w:w="500" w:type="dxa"/>
            <w:tcBorders>
              <w:top w:val="single" w:sz="4" w:space="0" w:color="000000"/>
              <w:left w:val="single" w:sz="4" w:space="0" w:color="000000"/>
              <w:bottom w:val="single" w:sz="4" w:space="0" w:color="000000"/>
              <w:right w:val="single" w:sz="4" w:space="0" w:color="000000"/>
            </w:tcBorders>
            <w:vAlign w:val="center"/>
          </w:tcPr>
          <w:p w14:paraId="3D927E3C" w14:textId="77777777" w:rsidR="00CD748F" w:rsidRDefault="00426F7E">
            <w:pPr>
              <w:spacing w:after="0" w:line="259" w:lineRule="auto"/>
              <w:ind w:left="0" w:right="11" w:firstLine="0"/>
              <w:jc w:val="left"/>
            </w:pPr>
            <w:r>
              <w:rPr>
                <w:sz w:val="20"/>
              </w:rPr>
              <w:t>A1 2</w:t>
            </w:r>
            <w:r>
              <w:t xml:space="preserve"> </w:t>
            </w:r>
          </w:p>
        </w:tc>
        <w:tc>
          <w:tcPr>
            <w:tcW w:w="1582" w:type="dxa"/>
            <w:tcBorders>
              <w:top w:val="single" w:sz="4" w:space="0" w:color="000000"/>
              <w:left w:val="single" w:sz="4" w:space="0" w:color="000000"/>
              <w:bottom w:val="single" w:sz="4" w:space="0" w:color="000000"/>
              <w:right w:val="single" w:sz="4" w:space="0" w:color="000000"/>
            </w:tcBorders>
            <w:vAlign w:val="center"/>
          </w:tcPr>
          <w:p w14:paraId="3801A9A0" w14:textId="77777777" w:rsidR="00CD748F" w:rsidRDefault="00426F7E">
            <w:pPr>
              <w:spacing w:after="0" w:line="259" w:lineRule="auto"/>
              <w:ind w:left="2" w:right="0" w:firstLine="0"/>
              <w:jc w:val="left"/>
            </w:pPr>
            <w:r>
              <w:rPr>
                <w:sz w:val="20"/>
              </w:rPr>
              <w:t>Hydrocarbures</w:t>
            </w:r>
            <w:r>
              <w:t xml:space="preserve"> </w:t>
            </w:r>
          </w:p>
        </w:tc>
        <w:tc>
          <w:tcPr>
            <w:tcW w:w="1529" w:type="dxa"/>
            <w:tcBorders>
              <w:top w:val="single" w:sz="4" w:space="0" w:color="000000"/>
              <w:left w:val="single" w:sz="4" w:space="0" w:color="000000"/>
              <w:bottom w:val="single" w:sz="4" w:space="0" w:color="000000"/>
              <w:right w:val="single" w:sz="4" w:space="0" w:color="000000"/>
            </w:tcBorders>
            <w:vAlign w:val="center"/>
          </w:tcPr>
          <w:p w14:paraId="32D53332" w14:textId="77777777" w:rsidR="00CD748F" w:rsidRDefault="00426F7E">
            <w:pPr>
              <w:spacing w:after="0" w:line="259" w:lineRule="auto"/>
              <w:ind w:left="2" w:right="0" w:firstLine="0"/>
              <w:jc w:val="left"/>
            </w:pPr>
            <w:r>
              <w:rPr>
                <w:sz w:val="20"/>
              </w:rPr>
              <w:t>Transaction concurrence 1,84 Md DH</w:t>
            </w:r>
            <w:r>
              <w:t xml:space="preserve"> </w:t>
            </w:r>
          </w:p>
        </w:tc>
        <w:tc>
          <w:tcPr>
            <w:tcW w:w="1656" w:type="dxa"/>
            <w:gridSpan w:val="2"/>
            <w:tcBorders>
              <w:top w:val="single" w:sz="4" w:space="0" w:color="000000"/>
              <w:left w:val="single" w:sz="4" w:space="0" w:color="000000"/>
              <w:bottom w:val="single" w:sz="4" w:space="0" w:color="000000"/>
              <w:right w:val="single" w:sz="4" w:space="0" w:color="000000"/>
            </w:tcBorders>
            <w:vAlign w:val="center"/>
          </w:tcPr>
          <w:p w14:paraId="3819D75C" w14:textId="77777777" w:rsidR="00CD748F" w:rsidRDefault="00426F7E">
            <w:pPr>
              <w:spacing w:after="0" w:line="259" w:lineRule="auto"/>
              <w:ind w:left="2" w:right="40" w:firstLine="0"/>
              <w:jc w:val="left"/>
            </w:pPr>
            <w:r>
              <w:rPr>
                <w:sz w:val="20"/>
              </w:rPr>
              <w:t>Dysfonctionnem ent concurrentiel documenté</w:t>
            </w:r>
            <w:r>
              <w:t xml:space="preserve"> </w:t>
            </w:r>
          </w:p>
        </w:tc>
        <w:tc>
          <w:tcPr>
            <w:tcW w:w="2925" w:type="dxa"/>
            <w:tcBorders>
              <w:top w:val="single" w:sz="4" w:space="0" w:color="000000"/>
              <w:left w:val="single" w:sz="4" w:space="0" w:color="000000"/>
              <w:bottom w:val="single" w:sz="4" w:space="0" w:color="000000"/>
              <w:right w:val="single" w:sz="4" w:space="0" w:color="000000"/>
            </w:tcBorders>
            <w:vAlign w:val="center"/>
          </w:tcPr>
          <w:p w14:paraId="5267C83A" w14:textId="77777777" w:rsidR="00CD748F" w:rsidRDefault="00426F7E">
            <w:pPr>
              <w:spacing w:after="0" w:line="259" w:lineRule="auto"/>
              <w:ind w:left="2" w:right="0" w:firstLine="0"/>
              <w:jc w:val="left"/>
            </w:pPr>
            <w:r>
              <w:rPr>
                <w:sz w:val="20"/>
              </w:rPr>
              <w:t>Suivi des engagements</w:t>
            </w:r>
            <w:r>
              <w:t xml:space="preserve"> </w:t>
            </w:r>
          </w:p>
        </w:tc>
        <w:tc>
          <w:tcPr>
            <w:tcW w:w="1769" w:type="dxa"/>
            <w:tcBorders>
              <w:top w:val="single" w:sz="4" w:space="0" w:color="000000"/>
              <w:left w:val="single" w:sz="4" w:space="0" w:color="000000"/>
              <w:bottom w:val="single" w:sz="33" w:space="0" w:color="EEF3F7"/>
              <w:right w:val="single" w:sz="4" w:space="0" w:color="000000"/>
            </w:tcBorders>
            <w:vAlign w:val="center"/>
          </w:tcPr>
          <w:p w14:paraId="727930CF" w14:textId="77777777" w:rsidR="00CD748F" w:rsidRDefault="00426F7E">
            <w:pPr>
              <w:spacing w:after="0" w:line="259" w:lineRule="auto"/>
              <w:ind w:left="1" w:right="0" w:firstLine="0"/>
              <w:jc w:val="left"/>
            </w:pPr>
            <w:r>
              <w:rPr>
                <w:sz w:val="20"/>
              </w:rPr>
              <w:t>Conseil concurrence</w:t>
            </w:r>
            <w:r>
              <w:t xml:space="preserve"> </w:t>
            </w:r>
          </w:p>
        </w:tc>
      </w:tr>
      <w:tr w:rsidR="00CD748F" w14:paraId="5B669B3B" w14:textId="77777777">
        <w:trPr>
          <w:trHeight w:val="1318"/>
        </w:trPr>
        <w:tc>
          <w:tcPr>
            <w:tcW w:w="500"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2AB6F5E1" w14:textId="77777777" w:rsidR="00CD748F" w:rsidRDefault="00426F7E">
            <w:pPr>
              <w:spacing w:after="0" w:line="259" w:lineRule="auto"/>
              <w:ind w:left="0" w:right="11" w:firstLine="0"/>
              <w:jc w:val="left"/>
            </w:pPr>
            <w:r>
              <w:rPr>
                <w:sz w:val="20"/>
              </w:rPr>
              <w:t>A1 3</w:t>
            </w:r>
            <w:r>
              <w:t xml:space="preserve"> </w:t>
            </w:r>
          </w:p>
        </w:tc>
        <w:tc>
          <w:tcPr>
            <w:tcW w:w="1582"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48037C79" w14:textId="77777777" w:rsidR="00CD748F" w:rsidRDefault="00426F7E">
            <w:pPr>
              <w:spacing w:after="0" w:line="259" w:lineRule="auto"/>
              <w:ind w:left="2" w:right="0" w:firstLine="0"/>
              <w:jc w:val="left"/>
            </w:pPr>
            <w:r>
              <w:rPr>
                <w:sz w:val="20"/>
              </w:rPr>
              <w:t>Énergie</w:t>
            </w:r>
            <w:r>
              <w:t xml:space="preserve"> </w:t>
            </w:r>
          </w:p>
        </w:tc>
        <w:tc>
          <w:tcPr>
            <w:tcW w:w="1529" w:type="dxa"/>
            <w:tcBorders>
              <w:top w:val="single" w:sz="4" w:space="0" w:color="000000"/>
              <w:left w:val="single" w:sz="4" w:space="0" w:color="000000"/>
              <w:bottom w:val="single" w:sz="4" w:space="0" w:color="000000"/>
              <w:right w:val="single" w:sz="4" w:space="0" w:color="000000"/>
            </w:tcBorders>
            <w:shd w:val="clear" w:color="auto" w:fill="EEF3F7"/>
          </w:tcPr>
          <w:p w14:paraId="48CB0F97" w14:textId="77777777" w:rsidR="00CD748F" w:rsidRDefault="00426F7E">
            <w:pPr>
              <w:tabs>
                <w:tab w:val="center" w:pos="856"/>
                <w:tab w:val="right" w:pos="1529"/>
              </w:tabs>
              <w:spacing w:after="0" w:line="259" w:lineRule="auto"/>
              <w:ind w:left="0" w:right="0" w:firstLine="0"/>
              <w:jc w:val="left"/>
            </w:pPr>
            <w:r>
              <w:rPr>
                <w:sz w:val="20"/>
              </w:rPr>
              <w:t xml:space="preserve">3,95 </w:t>
            </w:r>
            <w:r>
              <w:rPr>
                <w:sz w:val="20"/>
              </w:rPr>
              <w:tab/>
              <w:t xml:space="preserve">GW </w:t>
            </w:r>
            <w:r>
              <w:rPr>
                <w:sz w:val="20"/>
              </w:rPr>
              <w:tab/>
              <w:t xml:space="preserve">vs </w:t>
            </w:r>
          </w:p>
          <w:p w14:paraId="3121E155" w14:textId="77777777" w:rsidR="00CD748F" w:rsidRDefault="00426F7E">
            <w:pPr>
              <w:spacing w:after="0" w:line="259" w:lineRule="auto"/>
              <w:ind w:left="2" w:right="57" w:firstLine="0"/>
            </w:pPr>
            <w:r>
              <w:rPr>
                <w:sz w:val="20"/>
              </w:rPr>
              <w:t>~5,44 GW dans même source selon périmètres</w:t>
            </w:r>
            <w:r>
              <w:t xml:space="preserve"> </w:t>
            </w:r>
          </w:p>
        </w:tc>
        <w:tc>
          <w:tcPr>
            <w:tcW w:w="1656" w:type="dxa"/>
            <w:gridSpan w:val="2"/>
            <w:tcBorders>
              <w:top w:val="single" w:sz="4" w:space="0" w:color="000000"/>
              <w:left w:val="single" w:sz="4" w:space="0" w:color="000000"/>
              <w:bottom w:val="single" w:sz="4" w:space="0" w:color="000000"/>
              <w:right w:val="single" w:sz="4" w:space="0" w:color="000000"/>
            </w:tcBorders>
            <w:shd w:val="clear" w:color="auto" w:fill="EEF3F7"/>
            <w:vAlign w:val="center"/>
          </w:tcPr>
          <w:p w14:paraId="7BCE4CAC" w14:textId="77777777" w:rsidR="00CD748F" w:rsidRDefault="00426F7E">
            <w:pPr>
              <w:tabs>
                <w:tab w:val="right" w:pos="1656"/>
              </w:tabs>
              <w:spacing w:after="15" w:line="259" w:lineRule="auto"/>
              <w:ind w:left="0" w:right="0" w:firstLine="0"/>
              <w:jc w:val="left"/>
            </w:pPr>
            <w:r>
              <w:rPr>
                <w:sz w:val="20"/>
              </w:rPr>
              <w:t xml:space="preserve">Série </w:t>
            </w:r>
            <w:r>
              <w:rPr>
                <w:sz w:val="20"/>
              </w:rPr>
              <w:tab/>
              <w:t xml:space="preserve">à </w:t>
            </w:r>
          </w:p>
          <w:p w14:paraId="346057AC" w14:textId="77777777" w:rsidR="00CD748F" w:rsidRDefault="00426F7E">
            <w:pPr>
              <w:spacing w:after="0" w:line="259" w:lineRule="auto"/>
              <w:ind w:left="2" w:right="0" w:firstLine="0"/>
              <w:jc w:val="left"/>
            </w:pPr>
            <w:r>
              <w:rPr>
                <w:sz w:val="20"/>
              </w:rPr>
              <w:t>réconcilier</w:t>
            </w:r>
            <w:r>
              <w:t xml:space="preserve"> </w:t>
            </w:r>
          </w:p>
        </w:tc>
        <w:tc>
          <w:tcPr>
            <w:tcW w:w="2925" w:type="dxa"/>
            <w:tcBorders>
              <w:top w:val="single" w:sz="4" w:space="0" w:color="000000"/>
              <w:left w:val="single" w:sz="4" w:space="0" w:color="000000"/>
              <w:bottom w:val="single" w:sz="4" w:space="0" w:color="000000"/>
              <w:right w:val="single" w:sz="4" w:space="0" w:color="000000"/>
            </w:tcBorders>
            <w:shd w:val="clear" w:color="auto" w:fill="EEF3F7"/>
            <w:vAlign w:val="center"/>
          </w:tcPr>
          <w:p w14:paraId="6F103E9E" w14:textId="77777777" w:rsidR="00CD748F" w:rsidRDefault="00426F7E">
            <w:pPr>
              <w:spacing w:after="0" w:line="259" w:lineRule="auto"/>
              <w:ind w:left="2" w:right="0" w:firstLine="0"/>
              <w:jc w:val="left"/>
            </w:pPr>
            <w:r>
              <w:rPr>
                <w:sz w:val="20"/>
              </w:rPr>
              <w:t>Définition du stock de capacité</w:t>
            </w:r>
            <w:r>
              <w:t xml:space="preserve"> </w:t>
            </w:r>
          </w:p>
        </w:tc>
        <w:tc>
          <w:tcPr>
            <w:tcW w:w="1769"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5D3F2B22" w14:textId="77777777" w:rsidR="00CD748F" w:rsidRDefault="00426F7E">
            <w:pPr>
              <w:spacing w:after="0" w:line="259" w:lineRule="auto"/>
              <w:ind w:left="1" w:right="0" w:firstLine="0"/>
              <w:jc w:val="left"/>
            </w:pPr>
            <w:r>
              <w:rPr>
                <w:sz w:val="20"/>
              </w:rPr>
              <w:t>MEM/ANRE</w:t>
            </w:r>
            <w:r>
              <w:t xml:space="preserve"> </w:t>
            </w:r>
          </w:p>
        </w:tc>
      </w:tr>
      <w:tr w:rsidR="00CD748F" w14:paraId="2103055B" w14:textId="77777777">
        <w:trPr>
          <w:trHeight w:val="976"/>
        </w:trPr>
        <w:tc>
          <w:tcPr>
            <w:tcW w:w="500" w:type="dxa"/>
            <w:tcBorders>
              <w:top w:val="single" w:sz="4" w:space="0" w:color="000000"/>
              <w:left w:val="single" w:sz="4" w:space="0" w:color="000000"/>
              <w:bottom w:val="single" w:sz="33" w:space="0" w:color="EEF3F7"/>
              <w:right w:val="single" w:sz="4" w:space="0" w:color="000000"/>
            </w:tcBorders>
            <w:vAlign w:val="center"/>
          </w:tcPr>
          <w:p w14:paraId="0A5E0526" w14:textId="77777777" w:rsidR="00CD748F" w:rsidRDefault="00426F7E">
            <w:pPr>
              <w:spacing w:after="0" w:line="259" w:lineRule="auto"/>
              <w:ind w:left="0" w:right="11" w:firstLine="0"/>
              <w:jc w:val="left"/>
            </w:pPr>
            <w:r>
              <w:rPr>
                <w:sz w:val="20"/>
              </w:rPr>
              <w:t>A1 4</w:t>
            </w:r>
            <w:r>
              <w:t xml:space="preserve"> </w:t>
            </w:r>
          </w:p>
        </w:tc>
        <w:tc>
          <w:tcPr>
            <w:tcW w:w="1582" w:type="dxa"/>
            <w:tcBorders>
              <w:top w:val="single" w:sz="4" w:space="0" w:color="000000"/>
              <w:left w:val="single" w:sz="4" w:space="0" w:color="000000"/>
              <w:bottom w:val="single" w:sz="33" w:space="0" w:color="EEF3F7"/>
              <w:right w:val="single" w:sz="4" w:space="0" w:color="000000"/>
            </w:tcBorders>
            <w:vAlign w:val="center"/>
          </w:tcPr>
          <w:p w14:paraId="53F826B2" w14:textId="77777777" w:rsidR="00CD748F" w:rsidRDefault="00426F7E">
            <w:pPr>
              <w:spacing w:after="0" w:line="259" w:lineRule="auto"/>
              <w:ind w:left="2" w:right="0" w:firstLine="0"/>
              <w:jc w:val="left"/>
            </w:pPr>
            <w:r>
              <w:rPr>
                <w:sz w:val="20"/>
              </w:rPr>
              <w:t>Tourisme</w:t>
            </w:r>
            <w:r>
              <w:t xml:space="preserve"> </w:t>
            </w:r>
          </w:p>
        </w:tc>
        <w:tc>
          <w:tcPr>
            <w:tcW w:w="1529" w:type="dxa"/>
            <w:tcBorders>
              <w:top w:val="single" w:sz="4" w:space="0" w:color="000000"/>
              <w:left w:val="single" w:sz="4" w:space="0" w:color="000000"/>
              <w:bottom w:val="single" w:sz="33" w:space="0" w:color="EEF3F7"/>
              <w:right w:val="single" w:sz="4" w:space="0" w:color="000000"/>
            </w:tcBorders>
            <w:vAlign w:val="center"/>
          </w:tcPr>
          <w:p w14:paraId="71F154BA" w14:textId="77777777" w:rsidR="00CD748F" w:rsidRDefault="00426F7E">
            <w:pPr>
              <w:spacing w:after="29" w:line="240" w:lineRule="auto"/>
              <w:ind w:left="2" w:right="0" w:firstLine="0"/>
            </w:pPr>
            <w:r>
              <w:rPr>
                <w:sz w:val="20"/>
              </w:rPr>
              <w:t xml:space="preserve">20M visiteurs et 138Md </w:t>
            </w:r>
          </w:p>
          <w:p w14:paraId="524C4A25" w14:textId="77777777" w:rsidR="00CD748F" w:rsidRDefault="00426F7E">
            <w:pPr>
              <w:spacing w:after="0" w:line="259" w:lineRule="auto"/>
              <w:ind w:left="2" w:right="0" w:firstLine="0"/>
              <w:jc w:val="left"/>
            </w:pPr>
            <w:r>
              <w:rPr>
                <w:sz w:val="20"/>
              </w:rPr>
              <w:t>recettes</w:t>
            </w:r>
            <w:r>
              <w:t xml:space="preserve"> </w:t>
            </w:r>
          </w:p>
        </w:tc>
        <w:tc>
          <w:tcPr>
            <w:tcW w:w="1656" w:type="dxa"/>
            <w:gridSpan w:val="2"/>
            <w:tcBorders>
              <w:top w:val="single" w:sz="4" w:space="0" w:color="000000"/>
              <w:left w:val="single" w:sz="4" w:space="0" w:color="000000"/>
              <w:bottom w:val="single" w:sz="33" w:space="0" w:color="EEF3F7"/>
              <w:right w:val="single" w:sz="4" w:space="0" w:color="000000"/>
            </w:tcBorders>
            <w:vAlign w:val="center"/>
          </w:tcPr>
          <w:p w14:paraId="53C560E8" w14:textId="77777777" w:rsidR="00CD748F" w:rsidRDefault="00426F7E">
            <w:pPr>
              <w:spacing w:after="0" w:line="259" w:lineRule="auto"/>
              <w:ind w:left="2" w:right="58" w:firstLine="0"/>
            </w:pPr>
            <w:r>
              <w:rPr>
                <w:sz w:val="20"/>
              </w:rPr>
              <w:t>Performance positive ; emploi à comparer</w:t>
            </w:r>
            <w:r>
              <w:t xml:space="preserve"> </w:t>
            </w:r>
          </w:p>
        </w:tc>
        <w:tc>
          <w:tcPr>
            <w:tcW w:w="2925" w:type="dxa"/>
            <w:tcBorders>
              <w:top w:val="single" w:sz="4" w:space="0" w:color="000000"/>
              <w:left w:val="single" w:sz="4" w:space="0" w:color="000000"/>
              <w:bottom w:val="single" w:sz="33" w:space="0" w:color="EEF3F7"/>
              <w:right w:val="single" w:sz="4" w:space="0" w:color="000000"/>
            </w:tcBorders>
            <w:vAlign w:val="center"/>
          </w:tcPr>
          <w:p w14:paraId="56237A99" w14:textId="77777777" w:rsidR="00CD748F" w:rsidRDefault="00426F7E">
            <w:pPr>
              <w:spacing w:after="0" w:line="259" w:lineRule="auto"/>
              <w:ind w:left="2" w:right="0" w:firstLine="0"/>
              <w:jc w:val="left"/>
            </w:pPr>
            <w:r>
              <w:rPr>
                <w:sz w:val="20"/>
              </w:rPr>
              <w:t>Compte emploi/valeur ajoutée</w:t>
            </w:r>
            <w:r>
              <w:t xml:space="preserve"> </w:t>
            </w:r>
          </w:p>
        </w:tc>
        <w:tc>
          <w:tcPr>
            <w:tcW w:w="1769" w:type="dxa"/>
            <w:tcBorders>
              <w:top w:val="single" w:sz="4" w:space="0" w:color="000000"/>
              <w:left w:val="single" w:sz="4" w:space="0" w:color="000000"/>
              <w:bottom w:val="single" w:sz="33" w:space="0" w:color="EEF3F7"/>
              <w:right w:val="single" w:sz="4" w:space="0" w:color="000000"/>
            </w:tcBorders>
            <w:vAlign w:val="center"/>
          </w:tcPr>
          <w:p w14:paraId="2A232303" w14:textId="77777777" w:rsidR="00CD748F" w:rsidRDefault="00426F7E">
            <w:pPr>
              <w:spacing w:after="0" w:line="259" w:lineRule="auto"/>
              <w:ind w:left="1" w:right="0" w:firstLine="0"/>
              <w:jc w:val="left"/>
            </w:pPr>
            <w:r>
              <w:rPr>
                <w:sz w:val="20"/>
              </w:rPr>
              <w:t>Tourisme/HCP</w:t>
            </w:r>
            <w:r>
              <w:t xml:space="preserve"> </w:t>
            </w:r>
          </w:p>
        </w:tc>
      </w:tr>
      <w:tr w:rsidR="00CD748F" w14:paraId="5BF6BCEB" w14:textId="77777777">
        <w:trPr>
          <w:trHeight w:val="851"/>
        </w:trPr>
        <w:tc>
          <w:tcPr>
            <w:tcW w:w="500"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0BF130AE" w14:textId="77777777" w:rsidR="00CD748F" w:rsidRDefault="00426F7E">
            <w:pPr>
              <w:spacing w:after="0" w:line="259" w:lineRule="auto"/>
              <w:ind w:left="0" w:right="11" w:firstLine="0"/>
              <w:jc w:val="left"/>
            </w:pPr>
            <w:r>
              <w:rPr>
                <w:sz w:val="20"/>
              </w:rPr>
              <w:t>A1 5</w:t>
            </w:r>
            <w:r>
              <w:t xml:space="preserve"> </w:t>
            </w:r>
          </w:p>
        </w:tc>
        <w:tc>
          <w:tcPr>
            <w:tcW w:w="1582"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3EE534AA" w14:textId="77777777" w:rsidR="00CD748F" w:rsidRDefault="00426F7E">
            <w:pPr>
              <w:spacing w:after="0" w:line="259" w:lineRule="auto"/>
              <w:ind w:left="2" w:right="0" w:firstLine="0"/>
              <w:jc w:val="left"/>
            </w:pPr>
            <w:r>
              <w:rPr>
                <w:sz w:val="20"/>
              </w:rPr>
              <w:t>Digital</w:t>
            </w:r>
            <w:r>
              <w:t xml:space="preserve"> </w:t>
            </w:r>
          </w:p>
        </w:tc>
        <w:tc>
          <w:tcPr>
            <w:tcW w:w="1529"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7A223319" w14:textId="77777777" w:rsidR="00CD748F" w:rsidRDefault="00426F7E">
            <w:pPr>
              <w:tabs>
                <w:tab w:val="right" w:pos="1529"/>
              </w:tabs>
              <w:spacing w:after="16" w:line="259" w:lineRule="auto"/>
              <w:ind w:left="0" w:right="0" w:firstLine="0"/>
              <w:jc w:val="left"/>
            </w:pPr>
            <w:r>
              <w:rPr>
                <w:sz w:val="20"/>
              </w:rPr>
              <w:t xml:space="preserve">600 </w:t>
            </w:r>
            <w:r>
              <w:rPr>
                <w:sz w:val="20"/>
              </w:rPr>
              <w:tab/>
              <w:t xml:space="preserve">services, </w:t>
            </w:r>
          </w:p>
          <w:p w14:paraId="0D0F4204" w14:textId="77777777" w:rsidR="00CD748F" w:rsidRDefault="00426F7E">
            <w:pPr>
              <w:spacing w:after="0" w:line="259" w:lineRule="auto"/>
              <w:ind w:left="2" w:right="0" w:firstLine="0"/>
              <w:jc w:val="left"/>
            </w:pPr>
            <w:r>
              <w:rPr>
                <w:sz w:val="20"/>
              </w:rPr>
              <w:t>5G, 4G rural</w:t>
            </w:r>
            <w:r>
              <w:t xml:space="preserve"> </w:t>
            </w:r>
          </w:p>
        </w:tc>
        <w:tc>
          <w:tcPr>
            <w:tcW w:w="1656" w:type="dxa"/>
            <w:gridSpan w:val="2"/>
            <w:tcBorders>
              <w:top w:val="single" w:sz="33" w:space="0" w:color="EEF3F7"/>
              <w:left w:val="single" w:sz="4" w:space="0" w:color="000000"/>
              <w:bottom w:val="single" w:sz="4" w:space="0" w:color="000000"/>
              <w:right w:val="single" w:sz="4" w:space="0" w:color="000000"/>
            </w:tcBorders>
            <w:shd w:val="clear" w:color="auto" w:fill="EEF3F7"/>
          </w:tcPr>
          <w:p w14:paraId="1D645791" w14:textId="77777777" w:rsidR="00CD748F" w:rsidRDefault="00426F7E">
            <w:pPr>
              <w:spacing w:after="33" w:line="238" w:lineRule="auto"/>
              <w:ind w:left="2" w:right="0" w:firstLine="0"/>
            </w:pPr>
            <w:r>
              <w:rPr>
                <w:sz w:val="20"/>
              </w:rPr>
              <w:t xml:space="preserve">Outputs à convertir en </w:t>
            </w:r>
          </w:p>
          <w:p w14:paraId="2D800D6D" w14:textId="77777777" w:rsidR="00CD748F" w:rsidRDefault="00426F7E">
            <w:pPr>
              <w:spacing w:after="0" w:line="259" w:lineRule="auto"/>
              <w:ind w:left="2" w:right="0" w:firstLine="0"/>
              <w:jc w:val="left"/>
            </w:pPr>
            <w:r>
              <w:rPr>
                <w:sz w:val="20"/>
              </w:rPr>
              <w:t>productivité</w:t>
            </w:r>
            <w:r>
              <w:t xml:space="preserve"> </w:t>
            </w:r>
          </w:p>
        </w:tc>
        <w:tc>
          <w:tcPr>
            <w:tcW w:w="2925"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248FC778" w14:textId="77777777" w:rsidR="00CD748F" w:rsidRDefault="00426F7E">
            <w:pPr>
              <w:spacing w:after="0" w:line="259" w:lineRule="auto"/>
              <w:ind w:left="2" w:right="0" w:firstLine="0"/>
              <w:jc w:val="left"/>
            </w:pPr>
            <w:r>
              <w:rPr>
                <w:sz w:val="20"/>
              </w:rPr>
              <w:t>Usage, satisfaction, productivité</w:t>
            </w:r>
            <w:r>
              <w:t xml:space="preserve"> </w:t>
            </w:r>
          </w:p>
        </w:tc>
        <w:tc>
          <w:tcPr>
            <w:tcW w:w="1769" w:type="dxa"/>
            <w:tcBorders>
              <w:top w:val="single" w:sz="33" w:space="0" w:color="EEF3F7"/>
              <w:left w:val="single" w:sz="4" w:space="0" w:color="000000"/>
              <w:bottom w:val="single" w:sz="4" w:space="0" w:color="000000"/>
              <w:right w:val="single" w:sz="4" w:space="0" w:color="000000"/>
            </w:tcBorders>
            <w:shd w:val="clear" w:color="auto" w:fill="EEF3F7"/>
            <w:vAlign w:val="center"/>
          </w:tcPr>
          <w:p w14:paraId="3AE41B43" w14:textId="77777777" w:rsidR="00CD748F" w:rsidRDefault="00426F7E">
            <w:pPr>
              <w:spacing w:after="0" w:line="259" w:lineRule="auto"/>
              <w:ind w:left="1" w:right="0" w:firstLine="0"/>
              <w:jc w:val="left"/>
            </w:pPr>
            <w:r>
              <w:rPr>
                <w:sz w:val="20"/>
              </w:rPr>
              <w:t>ANRT/Min numérique</w:t>
            </w:r>
            <w:r>
              <w:t xml:space="preserve"> </w:t>
            </w:r>
          </w:p>
        </w:tc>
      </w:tr>
      <w:tr w:rsidR="00CD748F" w14:paraId="196DE22F" w14:textId="77777777">
        <w:trPr>
          <w:trHeight w:val="946"/>
        </w:trPr>
        <w:tc>
          <w:tcPr>
            <w:tcW w:w="500" w:type="dxa"/>
            <w:tcBorders>
              <w:top w:val="single" w:sz="4" w:space="0" w:color="000000"/>
              <w:left w:val="single" w:sz="4" w:space="0" w:color="000000"/>
              <w:bottom w:val="single" w:sz="4" w:space="0" w:color="000000"/>
              <w:right w:val="single" w:sz="4" w:space="0" w:color="000000"/>
            </w:tcBorders>
            <w:vAlign w:val="center"/>
          </w:tcPr>
          <w:p w14:paraId="23BA6C93" w14:textId="77777777" w:rsidR="00CD748F" w:rsidRDefault="00426F7E">
            <w:pPr>
              <w:spacing w:after="0" w:line="259" w:lineRule="auto"/>
              <w:ind w:left="0" w:right="11" w:firstLine="0"/>
              <w:jc w:val="left"/>
            </w:pPr>
            <w:r>
              <w:rPr>
                <w:sz w:val="20"/>
              </w:rPr>
              <w:t>A1 6</w:t>
            </w:r>
            <w:r>
              <w:t xml:space="preserve"> </w:t>
            </w:r>
          </w:p>
        </w:tc>
        <w:tc>
          <w:tcPr>
            <w:tcW w:w="1582" w:type="dxa"/>
            <w:tcBorders>
              <w:top w:val="single" w:sz="4" w:space="0" w:color="000000"/>
              <w:left w:val="single" w:sz="4" w:space="0" w:color="000000"/>
              <w:bottom w:val="single" w:sz="4" w:space="0" w:color="000000"/>
              <w:right w:val="single" w:sz="4" w:space="0" w:color="000000"/>
            </w:tcBorders>
            <w:vAlign w:val="center"/>
          </w:tcPr>
          <w:p w14:paraId="41E3F7C7" w14:textId="77777777" w:rsidR="00CD748F" w:rsidRDefault="00426F7E">
            <w:pPr>
              <w:spacing w:after="0" w:line="259" w:lineRule="auto"/>
              <w:ind w:left="2" w:right="0" w:firstLine="0"/>
              <w:jc w:val="left"/>
            </w:pPr>
            <w:r>
              <w:rPr>
                <w:sz w:val="20"/>
              </w:rPr>
              <w:t>Recommandati ons Cour</w:t>
            </w:r>
            <w:r>
              <w:t xml:space="preserve"> </w:t>
            </w:r>
          </w:p>
        </w:tc>
        <w:tc>
          <w:tcPr>
            <w:tcW w:w="1529" w:type="dxa"/>
            <w:tcBorders>
              <w:top w:val="single" w:sz="4" w:space="0" w:color="000000"/>
              <w:left w:val="single" w:sz="4" w:space="0" w:color="000000"/>
              <w:bottom w:val="single" w:sz="4" w:space="0" w:color="000000"/>
              <w:right w:val="single" w:sz="4" w:space="0" w:color="000000"/>
            </w:tcBorders>
            <w:vAlign w:val="center"/>
          </w:tcPr>
          <w:p w14:paraId="61A565DB" w14:textId="77777777" w:rsidR="00CD748F" w:rsidRDefault="00426F7E">
            <w:pPr>
              <w:spacing w:after="0" w:line="259" w:lineRule="auto"/>
              <w:ind w:left="2" w:right="0" w:firstLine="0"/>
            </w:pPr>
            <w:r>
              <w:rPr>
                <w:sz w:val="20"/>
              </w:rPr>
              <w:t>18 % clôturées sur lot 300</w:t>
            </w:r>
            <w:r>
              <w:t xml:space="preserve"> </w:t>
            </w:r>
          </w:p>
        </w:tc>
        <w:tc>
          <w:tcPr>
            <w:tcW w:w="1656" w:type="dxa"/>
            <w:gridSpan w:val="2"/>
            <w:tcBorders>
              <w:top w:val="single" w:sz="4" w:space="0" w:color="000000"/>
              <w:left w:val="single" w:sz="4" w:space="0" w:color="000000"/>
              <w:bottom w:val="single" w:sz="4" w:space="0" w:color="000000"/>
              <w:right w:val="single" w:sz="4" w:space="0" w:color="000000"/>
            </w:tcBorders>
            <w:vAlign w:val="center"/>
          </w:tcPr>
          <w:p w14:paraId="21417739" w14:textId="77777777" w:rsidR="00CD748F" w:rsidRDefault="00426F7E">
            <w:pPr>
              <w:spacing w:after="0" w:line="259" w:lineRule="auto"/>
              <w:ind w:left="2" w:right="0" w:firstLine="0"/>
              <w:jc w:val="left"/>
            </w:pPr>
            <w:r>
              <w:rPr>
                <w:sz w:val="20"/>
              </w:rPr>
              <w:t>Correction insuffisamment rapide</w:t>
            </w:r>
            <w:r>
              <w:t xml:space="preserve"> </w:t>
            </w:r>
          </w:p>
        </w:tc>
        <w:tc>
          <w:tcPr>
            <w:tcW w:w="2925" w:type="dxa"/>
            <w:tcBorders>
              <w:top w:val="single" w:sz="4" w:space="0" w:color="000000"/>
              <w:left w:val="single" w:sz="4" w:space="0" w:color="000000"/>
              <w:bottom w:val="single" w:sz="4" w:space="0" w:color="000000"/>
              <w:right w:val="single" w:sz="4" w:space="0" w:color="000000"/>
            </w:tcBorders>
            <w:vAlign w:val="center"/>
          </w:tcPr>
          <w:p w14:paraId="6787986D" w14:textId="77777777" w:rsidR="00CD748F" w:rsidRDefault="00426F7E">
            <w:pPr>
              <w:spacing w:after="0" w:line="259" w:lineRule="auto"/>
              <w:ind w:left="2" w:right="0" w:firstLine="0"/>
              <w:jc w:val="left"/>
            </w:pPr>
            <w:r>
              <w:rPr>
                <w:sz w:val="20"/>
              </w:rPr>
              <w:t>Registre de clôture</w:t>
            </w:r>
            <w:r>
              <w:t xml:space="preserve"> </w:t>
            </w:r>
          </w:p>
        </w:tc>
        <w:tc>
          <w:tcPr>
            <w:tcW w:w="1769" w:type="dxa"/>
            <w:tcBorders>
              <w:top w:val="single" w:sz="4" w:space="0" w:color="000000"/>
              <w:left w:val="single" w:sz="4" w:space="0" w:color="000000"/>
              <w:bottom w:val="single" w:sz="4" w:space="0" w:color="000000"/>
              <w:right w:val="single" w:sz="4" w:space="0" w:color="000000"/>
            </w:tcBorders>
            <w:vAlign w:val="center"/>
          </w:tcPr>
          <w:p w14:paraId="57EF7BD1" w14:textId="77777777" w:rsidR="00CD748F" w:rsidRDefault="00426F7E">
            <w:pPr>
              <w:spacing w:after="0" w:line="259" w:lineRule="auto"/>
              <w:ind w:left="1" w:right="0" w:firstLine="0"/>
              <w:jc w:val="left"/>
            </w:pPr>
            <w:r>
              <w:rPr>
                <w:sz w:val="20"/>
              </w:rPr>
              <w:t>Cour/Ministères</w:t>
            </w:r>
            <w:r>
              <w:t xml:space="preserve"> </w:t>
            </w:r>
          </w:p>
        </w:tc>
      </w:tr>
    </w:tbl>
    <w:p w14:paraId="278AF613" w14:textId="77777777" w:rsidR="00CD748F" w:rsidRDefault="00426F7E">
      <w:pPr>
        <w:spacing w:after="371" w:line="259" w:lineRule="auto"/>
        <w:ind w:left="0" w:right="0" w:firstLine="0"/>
      </w:pPr>
      <w:r>
        <w:t xml:space="preserve"> </w:t>
      </w:r>
    </w:p>
    <w:p w14:paraId="190EF7F1" w14:textId="77777777" w:rsidR="00CD748F" w:rsidRDefault="00426F7E">
      <w:pPr>
        <w:spacing w:after="0" w:line="259" w:lineRule="auto"/>
        <w:ind w:left="0" w:right="0" w:firstLine="0"/>
      </w:pPr>
      <w:r>
        <w:rPr>
          <w:rFonts w:cs="Cambria"/>
          <w:b/>
          <w:color w:val="163A5F"/>
          <w:sz w:val="40"/>
        </w:rPr>
        <w:t xml:space="preserve"> </w:t>
      </w:r>
    </w:p>
    <w:p w14:paraId="6E4AA580" w14:textId="77777777" w:rsidR="00CD748F" w:rsidRDefault="00426F7E">
      <w:pPr>
        <w:spacing w:after="216" w:line="259" w:lineRule="auto"/>
        <w:ind w:left="0" w:right="0" w:firstLine="0"/>
      </w:pPr>
      <w:r>
        <w:rPr>
          <w:rFonts w:ascii="Calibri" w:eastAsia="Calibri" w:hAnsi="Calibri" w:cs="Calibri"/>
          <w:sz w:val="21"/>
        </w:rPr>
        <w:t xml:space="preserve"> </w:t>
      </w:r>
    </w:p>
    <w:p w14:paraId="40BC0E3F" w14:textId="77777777" w:rsidR="00CD748F" w:rsidRDefault="00426F7E">
      <w:pPr>
        <w:spacing w:after="216" w:line="259" w:lineRule="auto"/>
        <w:ind w:left="0" w:right="0" w:firstLine="0"/>
      </w:pPr>
      <w:r>
        <w:rPr>
          <w:rFonts w:ascii="Calibri" w:eastAsia="Calibri" w:hAnsi="Calibri" w:cs="Calibri"/>
          <w:sz w:val="21"/>
        </w:rPr>
        <w:t xml:space="preserve"> </w:t>
      </w:r>
    </w:p>
    <w:p w14:paraId="097B4C33" w14:textId="77777777" w:rsidR="00CD748F" w:rsidRDefault="00426F7E">
      <w:pPr>
        <w:spacing w:after="216" w:line="259" w:lineRule="auto"/>
        <w:ind w:left="0" w:right="0" w:firstLine="0"/>
      </w:pPr>
      <w:r>
        <w:rPr>
          <w:rFonts w:ascii="Calibri" w:eastAsia="Calibri" w:hAnsi="Calibri" w:cs="Calibri"/>
          <w:sz w:val="21"/>
        </w:rPr>
        <w:t xml:space="preserve"> </w:t>
      </w:r>
    </w:p>
    <w:p w14:paraId="5A26F4AD" w14:textId="77777777" w:rsidR="00CD748F" w:rsidRDefault="00426F7E">
      <w:pPr>
        <w:spacing w:after="216" w:line="259" w:lineRule="auto"/>
        <w:ind w:left="0" w:right="0" w:firstLine="0"/>
      </w:pPr>
      <w:r>
        <w:rPr>
          <w:rFonts w:ascii="Calibri" w:eastAsia="Calibri" w:hAnsi="Calibri" w:cs="Calibri"/>
          <w:sz w:val="21"/>
        </w:rPr>
        <w:t xml:space="preserve"> </w:t>
      </w:r>
    </w:p>
    <w:p w14:paraId="23857AE0" w14:textId="77777777" w:rsidR="00CD748F" w:rsidRDefault="00426F7E">
      <w:pPr>
        <w:spacing w:after="216" w:line="259" w:lineRule="auto"/>
        <w:ind w:left="0" w:right="0" w:firstLine="0"/>
      </w:pPr>
      <w:r>
        <w:rPr>
          <w:rFonts w:ascii="Calibri" w:eastAsia="Calibri" w:hAnsi="Calibri" w:cs="Calibri"/>
          <w:sz w:val="21"/>
        </w:rPr>
        <w:t xml:space="preserve"> </w:t>
      </w:r>
    </w:p>
    <w:p w14:paraId="52C797AD" w14:textId="77777777" w:rsidR="00CD748F" w:rsidRDefault="00426F7E">
      <w:pPr>
        <w:spacing w:after="218" w:line="259" w:lineRule="auto"/>
        <w:ind w:left="0" w:right="0" w:firstLine="0"/>
      </w:pPr>
      <w:r>
        <w:rPr>
          <w:rFonts w:ascii="Calibri" w:eastAsia="Calibri" w:hAnsi="Calibri" w:cs="Calibri"/>
          <w:sz w:val="21"/>
        </w:rPr>
        <w:t xml:space="preserve"> </w:t>
      </w:r>
    </w:p>
    <w:p w14:paraId="4E129972" w14:textId="77777777" w:rsidR="00CD748F" w:rsidRDefault="00426F7E">
      <w:pPr>
        <w:spacing w:after="216" w:line="259" w:lineRule="auto"/>
        <w:ind w:left="0" w:right="0" w:firstLine="0"/>
      </w:pPr>
      <w:r>
        <w:rPr>
          <w:rFonts w:ascii="Calibri" w:eastAsia="Calibri" w:hAnsi="Calibri" w:cs="Calibri"/>
          <w:sz w:val="21"/>
        </w:rPr>
        <w:t xml:space="preserve"> </w:t>
      </w:r>
    </w:p>
    <w:p w14:paraId="3A957CD6" w14:textId="77777777" w:rsidR="00CD748F" w:rsidRDefault="00426F7E">
      <w:pPr>
        <w:spacing w:after="397" w:line="259" w:lineRule="auto"/>
        <w:ind w:left="0" w:right="0" w:firstLine="0"/>
      </w:pPr>
      <w:r>
        <w:rPr>
          <w:rFonts w:ascii="Calibri" w:eastAsia="Calibri" w:hAnsi="Calibri" w:cs="Calibri"/>
          <w:sz w:val="21"/>
        </w:rPr>
        <w:t xml:space="preserve"> </w:t>
      </w:r>
    </w:p>
    <w:p w14:paraId="13E2F017" w14:textId="77777777" w:rsidR="00CD748F" w:rsidRDefault="00426F7E">
      <w:pPr>
        <w:spacing w:after="0" w:line="259" w:lineRule="auto"/>
        <w:ind w:left="0" w:right="0" w:firstLine="0"/>
      </w:pPr>
      <w:r>
        <w:rPr>
          <w:rFonts w:cs="Cambria"/>
          <w:b/>
          <w:color w:val="163A5F"/>
          <w:sz w:val="40"/>
        </w:rPr>
        <w:t xml:space="preserve"> </w:t>
      </w:r>
    </w:p>
    <w:p w14:paraId="04216DBD" w14:textId="77777777" w:rsidR="00CD748F" w:rsidRDefault="00426F7E">
      <w:pPr>
        <w:spacing w:after="216" w:line="259" w:lineRule="auto"/>
        <w:ind w:left="0" w:right="0" w:firstLine="0"/>
      </w:pPr>
      <w:r>
        <w:rPr>
          <w:rFonts w:ascii="Calibri" w:eastAsia="Calibri" w:hAnsi="Calibri" w:cs="Calibri"/>
          <w:sz w:val="21"/>
        </w:rPr>
        <w:t xml:space="preserve"> </w:t>
      </w:r>
    </w:p>
    <w:p w14:paraId="117B94CD" w14:textId="77777777" w:rsidR="00CD748F" w:rsidRDefault="00426F7E">
      <w:pPr>
        <w:spacing w:after="0" w:line="259" w:lineRule="auto"/>
        <w:ind w:left="0" w:right="0" w:firstLine="0"/>
      </w:pPr>
      <w:r>
        <w:rPr>
          <w:rFonts w:ascii="Calibri" w:eastAsia="Calibri" w:hAnsi="Calibri" w:cs="Calibri"/>
          <w:sz w:val="21"/>
        </w:rPr>
        <w:t xml:space="preserve"> </w:t>
      </w:r>
    </w:p>
    <w:p w14:paraId="4D08253C" w14:textId="77777777" w:rsidR="00CD748F" w:rsidRDefault="00426F7E">
      <w:pPr>
        <w:pStyle w:val="Titre2"/>
        <w:ind w:left="-5"/>
      </w:pPr>
      <w:r>
        <w:t xml:space="preserve">XXXII. PROGRAMME D’ENQUÊTE  ET QUESTIONS À </w:t>
      </w:r>
      <w:r>
        <w:t xml:space="preserve">POSER </w:t>
      </w:r>
    </w:p>
    <w:p w14:paraId="4C894171" w14:textId="77777777" w:rsidR="00CD748F" w:rsidRDefault="00426F7E">
      <w:pPr>
        <w:ind w:left="-5" w:right="0"/>
      </w:pPr>
      <w:r>
        <w:rPr>
          <w:rFonts w:cs="Cambria"/>
        </w:rPr>
        <w:t xml:space="preserve">Le passage à un audit de régularité et d’efficience exige de sortir de la communication générale et </w:t>
      </w:r>
      <w:r>
        <w:t xml:space="preserve">de demander les pièces. Les auditions doivent être organisées par chaîne de responsabilité plutôt que par ministère uniquement. Les questions suivantes sont </w:t>
      </w:r>
      <w:r>
        <w:rPr>
          <w:rFonts w:cs="Cambria"/>
        </w:rPr>
        <w:t xml:space="preserve">conçues pour obliger l’administration </w:t>
      </w:r>
      <w:r>
        <w:t xml:space="preserve">à produire des rapprochements vérifiables. </w:t>
      </w:r>
    </w:p>
    <w:p w14:paraId="48A0734D" w14:textId="77777777" w:rsidR="00CD748F" w:rsidRDefault="00426F7E">
      <w:pPr>
        <w:numPr>
          <w:ilvl w:val="0"/>
          <w:numId w:val="7"/>
        </w:numPr>
        <w:spacing w:after="0"/>
        <w:ind w:right="0" w:hanging="360"/>
      </w:pPr>
      <w:r>
        <w:t xml:space="preserve">Emploi : combien de bénéficiaires uniques par programme, combien déclarés à la CNSS six et douze mois après, quel coût par emploi durable, quel taux de fermeture des entreprises financées ? </w:t>
      </w:r>
    </w:p>
    <w:p w14:paraId="4E74365A" w14:textId="77777777" w:rsidR="00CD748F" w:rsidRDefault="00426F7E">
      <w:pPr>
        <w:numPr>
          <w:ilvl w:val="0"/>
          <w:numId w:val="7"/>
        </w:numPr>
        <w:spacing w:after="0"/>
        <w:ind w:right="0" w:hanging="360"/>
      </w:pPr>
      <w:r>
        <w:t xml:space="preserve">Al Haouz : où sont les 120 Md DH dans les lignes budgétaires, quels montants sont engagés et payés, quels actifs sont réceptionnés et quel est leur coût final par commune ? </w:t>
      </w:r>
    </w:p>
    <w:p w14:paraId="5B55EB51" w14:textId="77777777" w:rsidR="00CD748F" w:rsidRDefault="00426F7E">
      <w:pPr>
        <w:numPr>
          <w:ilvl w:val="0"/>
          <w:numId w:val="7"/>
        </w:numPr>
        <w:spacing w:after="0"/>
        <w:ind w:right="0" w:hanging="360"/>
      </w:pPr>
      <w:r>
        <w:t xml:space="preserve">Cheptel : qui a reçu combien, pour combien de têtes, selon quelle règle, et quel effet sur le cheptel, le prix de la viande et le revenu des éleveurs ? </w:t>
      </w:r>
    </w:p>
    <w:p w14:paraId="0A316D5A" w14:textId="77777777" w:rsidR="00CD748F" w:rsidRDefault="00426F7E">
      <w:pPr>
        <w:numPr>
          <w:ilvl w:val="0"/>
          <w:numId w:val="7"/>
        </w:numPr>
        <w:spacing w:after="0"/>
        <w:ind w:right="0" w:hanging="360"/>
      </w:pPr>
      <w:r>
        <w:t xml:space="preserve">Badel/Touhtouh : quels sont les actes administratifs nominatifs et les flux financiers </w:t>
      </w:r>
      <w:r>
        <w:rPr>
          <w:rFonts w:cs="Cambria"/>
        </w:rPr>
        <w:t>permettant d’établir ou d’écarter les allégations ?</w:t>
      </w:r>
      <w:r>
        <w:t xml:space="preserve"> </w:t>
      </w:r>
    </w:p>
    <w:p w14:paraId="253CD0E4" w14:textId="77777777" w:rsidR="00CD748F" w:rsidRDefault="00426F7E">
      <w:pPr>
        <w:numPr>
          <w:ilvl w:val="0"/>
          <w:numId w:val="7"/>
        </w:numPr>
        <w:spacing w:after="0"/>
        <w:ind w:right="0" w:hanging="360"/>
      </w:pPr>
      <w:r>
        <w:t xml:space="preserve">Santé/AMO : combien de droits ouverts, combien de soins, quel délai, quel reste à charge et pourquoi 91 % des dépenses de soins recensées sont-elles orientées vers le privé ? </w:t>
      </w:r>
    </w:p>
    <w:p w14:paraId="29268156" w14:textId="77777777" w:rsidR="00CD748F" w:rsidRDefault="00426F7E">
      <w:pPr>
        <w:numPr>
          <w:ilvl w:val="0"/>
          <w:numId w:val="7"/>
        </w:numPr>
        <w:spacing w:after="0"/>
        <w:ind w:right="0" w:hanging="360"/>
      </w:pPr>
      <w:r>
        <w:t xml:space="preserve">Eau : combien coûte réellement le mètre cube dessalé, transféré et distribué, quelles sont les pertes et quelle est la part du coût énergétique ? </w:t>
      </w:r>
    </w:p>
    <w:p w14:paraId="453C9729" w14:textId="77777777" w:rsidR="00CD748F" w:rsidRDefault="00426F7E">
      <w:pPr>
        <w:numPr>
          <w:ilvl w:val="0"/>
          <w:numId w:val="7"/>
        </w:numPr>
        <w:spacing w:after="0"/>
        <w:ind w:right="0" w:hanging="360"/>
      </w:pPr>
      <w:r>
        <w:t xml:space="preserve">Tourisme : parmi les 90 000 emplois annoncés en 2025, combien sont directs, nouveaux, déclarés et toujours actifs à 12 mois ? </w:t>
      </w:r>
    </w:p>
    <w:p w14:paraId="407FCE58" w14:textId="77777777" w:rsidR="00CD748F" w:rsidRDefault="00426F7E">
      <w:pPr>
        <w:numPr>
          <w:ilvl w:val="0"/>
          <w:numId w:val="7"/>
        </w:numPr>
        <w:spacing w:after="0"/>
        <w:ind w:right="0" w:hanging="360"/>
      </w:pPr>
      <w:r>
        <w:t xml:space="preserve">Énergie/hydrogène : combien des projets annoncés sont financés, combien ont atteint la </w:t>
      </w:r>
      <w:r>
        <w:rPr>
          <w:rFonts w:cs="Cambria"/>
        </w:rPr>
        <w:t>décision finale d’investissement et quelle est la valeur du foncier public mobilisé ?</w:t>
      </w:r>
      <w:r>
        <w:t xml:space="preserve"> </w:t>
      </w:r>
    </w:p>
    <w:p w14:paraId="021BE6A1" w14:textId="77777777" w:rsidR="00CD748F" w:rsidRDefault="00426F7E">
      <w:pPr>
        <w:numPr>
          <w:ilvl w:val="0"/>
          <w:numId w:val="7"/>
        </w:numPr>
        <w:spacing w:after="342" w:line="261" w:lineRule="auto"/>
        <w:ind w:right="0" w:hanging="360"/>
      </w:pPr>
      <w:r>
        <w:t xml:space="preserve">Numérique : combien des 600 services numériques sont réellement utilisés, combien de </w:t>
      </w:r>
      <w:r>
        <w:rPr>
          <w:rFonts w:cs="Cambria"/>
        </w:rPr>
        <w:t>procédures ont vu leur délai et leur coût diminuer, et combien d’emplois qualifiés ont été créés en dehors de l’externalisation ?</w:t>
      </w:r>
      <w:r>
        <w:t xml:space="preserve"> </w:t>
      </w:r>
    </w:p>
    <w:p w14:paraId="036B6E1B" w14:textId="77777777" w:rsidR="00CD748F" w:rsidRDefault="00426F7E">
      <w:pPr>
        <w:spacing w:after="0" w:line="259" w:lineRule="auto"/>
        <w:ind w:left="0" w:right="0" w:firstLine="0"/>
        <w:jc w:val="left"/>
      </w:pPr>
      <w:r>
        <w:rPr>
          <w:rFonts w:cs="Cambria"/>
          <w:b/>
          <w:color w:val="163A5F"/>
          <w:sz w:val="40"/>
        </w:rPr>
        <w:t xml:space="preserve"> </w:t>
      </w:r>
    </w:p>
    <w:p w14:paraId="4B6BBD74" w14:textId="77777777" w:rsidR="00CD748F" w:rsidRDefault="00426F7E">
      <w:pPr>
        <w:spacing w:after="396" w:line="259" w:lineRule="auto"/>
        <w:ind w:left="0" w:right="0" w:firstLine="0"/>
        <w:jc w:val="left"/>
      </w:pPr>
      <w:r>
        <w:rPr>
          <w:rFonts w:ascii="Calibri" w:eastAsia="Calibri" w:hAnsi="Calibri" w:cs="Calibri"/>
          <w:sz w:val="21"/>
        </w:rPr>
        <w:t xml:space="preserve"> </w:t>
      </w:r>
    </w:p>
    <w:p w14:paraId="7F4FEC17" w14:textId="77777777" w:rsidR="00CD748F" w:rsidRDefault="00426F7E">
      <w:pPr>
        <w:spacing w:after="0" w:line="259" w:lineRule="auto"/>
        <w:ind w:left="0" w:right="0" w:firstLine="0"/>
        <w:jc w:val="left"/>
      </w:pPr>
      <w:r>
        <w:rPr>
          <w:rFonts w:cs="Cambria"/>
          <w:b/>
          <w:color w:val="163A5F"/>
          <w:sz w:val="40"/>
        </w:rPr>
        <w:t xml:space="preserve"> </w:t>
      </w:r>
    </w:p>
    <w:p w14:paraId="38212890" w14:textId="77777777" w:rsidR="00CD748F" w:rsidRDefault="00426F7E">
      <w:pPr>
        <w:spacing w:after="396" w:line="259" w:lineRule="auto"/>
        <w:ind w:left="0" w:right="0" w:firstLine="0"/>
        <w:jc w:val="left"/>
      </w:pPr>
      <w:r>
        <w:rPr>
          <w:rFonts w:ascii="Calibri" w:eastAsia="Calibri" w:hAnsi="Calibri" w:cs="Calibri"/>
          <w:sz w:val="21"/>
        </w:rPr>
        <w:t xml:space="preserve"> </w:t>
      </w:r>
    </w:p>
    <w:p w14:paraId="6B1E000A" w14:textId="77777777" w:rsidR="00CD748F" w:rsidRDefault="00426F7E">
      <w:pPr>
        <w:spacing w:after="0" w:line="259" w:lineRule="auto"/>
        <w:ind w:left="0" w:right="0" w:firstLine="0"/>
        <w:jc w:val="left"/>
      </w:pPr>
      <w:r>
        <w:rPr>
          <w:rFonts w:cs="Cambria"/>
          <w:b/>
          <w:color w:val="163A5F"/>
          <w:sz w:val="40"/>
        </w:rPr>
        <w:t xml:space="preserve"> </w:t>
      </w:r>
    </w:p>
    <w:p w14:paraId="78F476C4" w14:textId="77777777" w:rsidR="00CD748F" w:rsidRDefault="00426F7E">
      <w:pPr>
        <w:spacing w:after="216" w:line="259" w:lineRule="auto"/>
        <w:ind w:left="0" w:right="0" w:firstLine="0"/>
        <w:jc w:val="left"/>
      </w:pPr>
      <w:r>
        <w:rPr>
          <w:rFonts w:ascii="Calibri" w:eastAsia="Calibri" w:hAnsi="Calibri" w:cs="Calibri"/>
          <w:sz w:val="21"/>
        </w:rPr>
        <w:t xml:space="preserve"> </w:t>
      </w:r>
    </w:p>
    <w:p w14:paraId="557D3610" w14:textId="77777777" w:rsidR="00CD748F" w:rsidRDefault="00426F7E">
      <w:pPr>
        <w:spacing w:after="216" w:line="259" w:lineRule="auto"/>
        <w:ind w:left="0" w:right="0" w:firstLine="0"/>
        <w:jc w:val="left"/>
      </w:pPr>
      <w:r>
        <w:rPr>
          <w:rFonts w:ascii="Calibri" w:eastAsia="Calibri" w:hAnsi="Calibri" w:cs="Calibri"/>
          <w:sz w:val="21"/>
        </w:rPr>
        <w:t xml:space="preserve"> </w:t>
      </w:r>
    </w:p>
    <w:p w14:paraId="3F8FDD34" w14:textId="77777777" w:rsidR="00CD748F" w:rsidRDefault="00426F7E">
      <w:pPr>
        <w:spacing w:after="0" w:line="259" w:lineRule="auto"/>
        <w:ind w:left="0" w:right="0" w:firstLine="0"/>
        <w:jc w:val="left"/>
      </w:pPr>
      <w:r>
        <w:rPr>
          <w:rFonts w:ascii="Calibri" w:eastAsia="Calibri" w:hAnsi="Calibri" w:cs="Calibri"/>
          <w:sz w:val="21"/>
        </w:rPr>
        <w:t xml:space="preserve"> </w:t>
      </w:r>
    </w:p>
    <w:p w14:paraId="0D25E21F" w14:textId="77777777" w:rsidR="00CD748F" w:rsidRDefault="00426F7E">
      <w:pPr>
        <w:pStyle w:val="Titre2"/>
        <w:spacing w:after="0" w:line="259" w:lineRule="auto"/>
        <w:ind w:left="-5"/>
      </w:pPr>
      <w:r>
        <w:t>XXXIII. OPINION FINALE D’AUDIT</w:t>
      </w:r>
      <w:r>
        <w:t xml:space="preserve"> </w:t>
      </w:r>
    </w:p>
    <w:p w14:paraId="016064A8" w14:textId="77777777" w:rsidR="00CD748F" w:rsidRDefault="00426F7E">
      <w:pPr>
        <w:spacing w:after="242" w:line="259" w:lineRule="auto"/>
        <w:ind w:left="0" w:right="0" w:firstLine="0"/>
        <w:jc w:val="left"/>
      </w:pPr>
      <w:r>
        <w:rPr>
          <w:rFonts w:ascii="Calibri" w:eastAsia="Calibri" w:hAnsi="Calibri" w:cs="Calibri"/>
          <w:sz w:val="21"/>
        </w:rPr>
        <w:t xml:space="preserve"> </w:t>
      </w:r>
    </w:p>
    <w:p w14:paraId="6A0226A5" w14:textId="77777777" w:rsidR="00CD748F" w:rsidRDefault="00426F7E">
      <w:pPr>
        <w:ind w:left="-5" w:right="0"/>
      </w:pPr>
      <w:r>
        <w:t xml:space="preserve">Sur la base des pièces disponibles, le gouvernement peut légitimement revendiquer plusieurs </w:t>
      </w:r>
      <w:r>
        <w:rPr>
          <w:rFonts w:cs="Cambria"/>
        </w:rPr>
        <w:t xml:space="preserve">transformations profondes. La réforme sociale est réelle ; la reconstruction d’Al Haouz est </w:t>
      </w:r>
      <w:r>
        <w:t xml:space="preserve">substantielle ; le tourisme connaît une performance exceptionnellement favorable ; la </w:t>
      </w:r>
      <w:r>
        <w:rPr>
          <w:rFonts w:cs="Cambria"/>
        </w:rPr>
        <w:t xml:space="preserve">transformation numérique et la 5G ont progressé rapidement ; les renouvelables et l’hydrogène </w:t>
      </w:r>
      <w:r>
        <w:t xml:space="preserve">vert ont cr </w:t>
      </w:r>
    </w:p>
    <w:p w14:paraId="6F9168D3" w14:textId="77777777" w:rsidR="00CD748F" w:rsidRDefault="00426F7E">
      <w:pPr>
        <w:spacing w:after="144" w:line="261" w:lineRule="auto"/>
        <w:ind w:left="-5" w:right="0"/>
      </w:pPr>
      <w:r>
        <w:rPr>
          <w:rFonts w:cs="Cambria"/>
        </w:rPr>
        <w:t>éé un portefeuille d’investissement stratégique ; l’investissement industriel et les infrastructures ont changé d’échelle. [F3][S4][S10][S13]</w:t>
      </w:r>
      <w:r>
        <w:t xml:space="preserve"> </w:t>
      </w:r>
    </w:p>
    <w:p w14:paraId="386F46A3" w14:textId="77777777" w:rsidR="00CD748F" w:rsidRDefault="00426F7E">
      <w:pPr>
        <w:spacing w:after="144" w:line="261" w:lineRule="auto"/>
        <w:ind w:left="-5" w:right="0"/>
      </w:pPr>
      <w:r>
        <w:rPr>
          <w:rFonts w:cs="Cambria"/>
        </w:rPr>
        <w:t xml:space="preserve">En revanche, la majorité des engagements de résultat n’est pas certifiée comme atteinte. Le million d’emplois nets n’est pas démontré ; l’activité féminine reste très éloignée de la cible ; les </w:t>
      </w:r>
      <w:r>
        <w:t xml:space="preserve">apprentissages ne permettent pas de proclamer le top 60 ; le préscolaire universel est reporté ; la </w:t>
      </w:r>
      <w:r>
        <w:rPr>
          <w:rFonts w:cs="Cambria"/>
        </w:rPr>
        <w:t xml:space="preserve">sortie d’un million de familles de la pauvreté n’est pas mesurée ; le Gini ne peut pas être évalué sur une série comparable. Le diagnostic n’est donc pas celui d’un État inactif, mais celui d’un État dont </w:t>
      </w:r>
      <w:r>
        <w:t>la capacité d</w:t>
      </w:r>
      <w:r>
        <w:rPr>
          <w:rFonts w:cs="Cambria"/>
        </w:rPr>
        <w:t xml:space="preserve">e transformation n’est pas accompagnée partout d’une capacité équivalente de mesure </w:t>
      </w:r>
      <w:r>
        <w:t xml:space="preserve">et de reddition des comptes. </w:t>
      </w:r>
    </w:p>
    <w:p w14:paraId="1FF5A8EB" w14:textId="77777777" w:rsidR="00CD748F" w:rsidRDefault="00426F7E">
      <w:pPr>
        <w:ind w:left="-5" w:right="0"/>
      </w:pPr>
      <w:r>
        <w:t xml:space="preserve">Les dossiers sensibles renforcent cette conclusion. Les controverses sur le cheptel, les </w:t>
      </w:r>
      <w:r>
        <w:rPr>
          <w:rFonts w:cs="Cambria"/>
        </w:rPr>
        <w:t>hydrocarbures, le foncier et l’eau ne peuvent pas toutes être assimilées à des irrégularités, mais elles montrent la nécessité d’une traçabilité nominative et économiq</w:t>
      </w:r>
      <w:r>
        <w:t xml:space="preserve">ue beaucoup plus forte. Dans un État moderne, la transparence ne consiste pas seulement à annoncer un montant ; elle consiste à rendre vérifiable le chemin de ce montant vers le résultat et vers le bénéficiaire final. </w:t>
      </w:r>
    </w:p>
    <w:p w14:paraId="2E5E00B6" w14:textId="77777777" w:rsidR="00CD748F" w:rsidRDefault="00426F7E">
      <w:pPr>
        <w:spacing w:after="350"/>
        <w:ind w:left="-5" w:right="0"/>
      </w:pPr>
      <w:r>
        <w:rPr>
          <w:rFonts w:cs="Cambria"/>
        </w:rPr>
        <w:t xml:space="preserve">L’opinion finale est donc la suivante : **performance gouvernementale contrastée ; capacité d’investissement et de réforme réelle ; plusieurs résultats emblématiques non atteints ; système </w:t>
      </w:r>
      <w:r>
        <w:t xml:space="preserve">de mesure des résultats incomplet ; risques élevés de décalage entre communication, dépense et impact dans certains programmes ; plusieurs dossiers sensibles nécessitant des vérifications contradictoires avant toute qualification juridique.** </w:t>
      </w:r>
    </w:p>
    <w:p w14:paraId="674E0894" w14:textId="77777777" w:rsidR="00CD748F" w:rsidRDefault="00426F7E">
      <w:pPr>
        <w:spacing w:after="0" w:line="375" w:lineRule="auto"/>
        <w:ind w:left="0" w:right="9889" w:firstLine="0"/>
        <w:jc w:val="left"/>
      </w:pPr>
      <w:r>
        <w:rPr>
          <w:rFonts w:cs="Cambria"/>
          <w:b/>
          <w:color w:val="163A5F"/>
          <w:sz w:val="40"/>
        </w:rPr>
        <w:t xml:space="preserve">   </w:t>
      </w:r>
    </w:p>
    <w:p w14:paraId="37ABF407" w14:textId="77777777" w:rsidR="00CD748F" w:rsidRDefault="00426F7E">
      <w:pPr>
        <w:spacing w:after="0" w:line="259" w:lineRule="auto"/>
        <w:ind w:left="0" w:right="0" w:firstLine="0"/>
        <w:jc w:val="left"/>
      </w:pPr>
      <w:r>
        <w:rPr>
          <w:rFonts w:cs="Cambria"/>
          <w:b/>
          <w:color w:val="163A5F"/>
          <w:sz w:val="40"/>
        </w:rPr>
        <w:t xml:space="preserve"> </w:t>
      </w:r>
    </w:p>
    <w:p w14:paraId="5ABD7759" w14:textId="77777777" w:rsidR="00CD748F" w:rsidRDefault="00426F7E">
      <w:pPr>
        <w:spacing w:after="216" w:line="259" w:lineRule="auto"/>
        <w:ind w:left="0" w:right="0" w:firstLine="0"/>
        <w:jc w:val="left"/>
      </w:pPr>
      <w:r>
        <w:rPr>
          <w:rFonts w:ascii="Calibri" w:eastAsia="Calibri" w:hAnsi="Calibri" w:cs="Calibri"/>
          <w:sz w:val="21"/>
        </w:rPr>
        <w:t xml:space="preserve"> </w:t>
      </w:r>
    </w:p>
    <w:p w14:paraId="31988420" w14:textId="77777777" w:rsidR="00CD748F" w:rsidRDefault="00426F7E">
      <w:pPr>
        <w:spacing w:after="216" w:line="259" w:lineRule="auto"/>
        <w:ind w:left="0" w:right="0" w:firstLine="0"/>
        <w:jc w:val="left"/>
      </w:pPr>
      <w:r>
        <w:rPr>
          <w:rFonts w:ascii="Calibri" w:eastAsia="Calibri" w:hAnsi="Calibri" w:cs="Calibri"/>
          <w:sz w:val="21"/>
        </w:rPr>
        <w:t xml:space="preserve"> </w:t>
      </w:r>
    </w:p>
    <w:p w14:paraId="43117D97" w14:textId="77777777" w:rsidR="00CD748F" w:rsidRDefault="00426F7E">
      <w:pPr>
        <w:spacing w:after="0" w:line="259" w:lineRule="auto"/>
        <w:ind w:left="0" w:right="0" w:firstLine="0"/>
        <w:jc w:val="left"/>
      </w:pPr>
      <w:r>
        <w:rPr>
          <w:rFonts w:ascii="Calibri" w:eastAsia="Calibri" w:hAnsi="Calibri" w:cs="Calibri"/>
          <w:sz w:val="21"/>
        </w:rPr>
        <w:t xml:space="preserve"> </w:t>
      </w:r>
    </w:p>
    <w:p w14:paraId="110BEC04" w14:textId="77777777" w:rsidR="00CD748F" w:rsidRDefault="00426F7E">
      <w:pPr>
        <w:spacing w:after="216" w:line="259" w:lineRule="auto"/>
        <w:ind w:left="0" w:right="0" w:firstLine="0"/>
        <w:jc w:val="left"/>
      </w:pPr>
      <w:r>
        <w:rPr>
          <w:rFonts w:ascii="Calibri" w:eastAsia="Calibri" w:hAnsi="Calibri" w:cs="Calibri"/>
          <w:sz w:val="21"/>
        </w:rPr>
        <w:t xml:space="preserve"> </w:t>
      </w:r>
    </w:p>
    <w:p w14:paraId="116A06FC" w14:textId="77777777" w:rsidR="00CD748F" w:rsidRDefault="00426F7E">
      <w:pPr>
        <w:spacing w:after="216" w:line="259" w:lineRule="auto"/>
        <w:ind w:left="0" w:right="0" w:firstLine="0"/>
        <w:jc w:val="left"/>
      </w:pPr>
      <w:r>
        <w:rPr>
          <w:rFonts w:ascii="Calibri" w:eastAsia="Calibri" w:hAnsi="Calibri" w:cs="Calibri"/>
          <w:sz w:val="21"/>
        </w:rPr>
        <w:t xml:space="preserve"> </w:t>
      </w:r>
    </w:p>
    <w:p w14:paraId="2B9AA77F" w14:textId="77777777" w:rsidR="00CD748F" w:rsidRDefault="00426F7E">
      <w:pPr>
        <w:spacing w:after="216" w:line="259" w:lineRule="auto"/>
        <w:ind w:left="0" w:right="0" w:firstLine="0"/>
        <w:jc w:val="left"/>
      </w:pPr>
      <w:r>
        <w:rPr>
          <w:rFonts w:ascii="Calibri" w:eastAsia="Calibri" w:hAnsi="Calibri" w:cs="Calibri"/>
          <w:sz w:val="21"/>
        </w:rPr>
        <w:t xml:space="preserve"> </w:t>
      </w:r>
    </w:p>
    <w:p w14:paraId="67188495" w14:textId="77777777" w:rsidR="00CD748F" w:rsidRDefault="00426F7E">
      <w:pPr>
        <w:spacing w:after="218" w:line="259" w:lineRule="auto"/>
        <w:ind w:left="0" w:right="0" w:firstLine="0"/>
        <w:jc w:val="left"/>
      </w:pPr>
      <w:r>
        <w:rPr>
          <w:rFonts w:ascii="Calibri" w:eastAsia="Calibri" w:hAnsi="Calibri" w:cs="Calibri"/>
          <w:sz w:val="21"/>
        </w:rPr>
        <w:t xml:space="preserve"> </w:t>
      </w:r>
    </w:p>
    <w:p w14:paraId="32A332FA" w14:textId="77777777" w:rsidR="00CD748F" w:rsidRDefault="00426F7E">
      <w:pPr>
        <w:spacing w:after="216" w:line="259" w:lineRule="auto"/>
        <w:ind w:left="0" w:right="0" w:firstLine="0"/>
        <w:jc w:val="left"/>
      </w:pPr>
      <w:r>
        <w:rPr>
          <w:rFonts w:ascii="Calibri" w:eastAsia="Calibri" w:hAnsi="Calibri" w:cs="Calibri"/>
          <w:sz w:val="21"/>
        </w:rPr>
        <w:t xml:space="preserve"> </w:t>
      </w:r>
    </w:p>
    <w:p w14:paraId="39E77B69" w14:textId="77777777" w:rsidR="00CD748F" w:rsidRDefault="00426F7E">
      <w:pPr>
        <w:spacing w:after="396" w:line="259" w:lineRule="auto"/>
        <w:ind w:left="0" w:right="0" w:firstLine="0"/>
        <w:jc w:val="left"/>
      </w:pPr>
      <w:r>
        <w:rPr>
          <w:rFonts w:ascii="Calibri" w:eastAsia="Calibri" w:hAnsi="Calibri" w:cs="Calibri"/>
          <w:sz w:val="21"/>
        </w:rPr>
        <w:t xml:space="preserve"> </w:t>
      </w:r>
    </w:p>
    <w:p w14:paraId="007635C7" w14:textId="77777777" w:rsidR="00CD748F" w:rsidRDefault="00426F7E">
      <w:pPr>
        <w:spacing w:after="0" w:line="375" w:lineRule="auto"/>
        <w:ind w:left="0" w:right="9889" w:firstLine="0"/>
      </w:pPr>
      <w:r>
        <w:rPr>
          <w:rFonts w:cs="Cambria"/>
          <w:b/>
          <w:color w:val="163A5F"/>
          <w:sz w:val="40"/>
        </w:rPr>
        <w:t xml:space="preserve">  </w:t>
      </w:r>
    </w:p>
    <w:p w14:paraId="51F9C379" w14:textId="77777777" w:rsidR="00CD748F" w:rsidRDefault="00426F7E">
      <w:pPr>
        <w:spacing w:after="228" w:line="259" w:lineRule="auto"/>
        <w:ind w:left="0" w:right="0" w:firstLine="0"/>
        <w:jc w:val="left"/>
      </w:pPr>
      <w:r>
        <w:rPr>
          <w:rFonts w:cs="Cambria"/>
          <w:b/>
          <w:color w:val="163A5F"/>
          <w:sz w:val="40"/>
        </w:rPr>
        <w:t xml:space="preserve"> </w:t>
      </w:r>
    </w:p>
    <w:p w14:paraId="75CCCAED" w14:textId="77777777" w:rsidR="00CD748F" w:rsidRDefault="00426F7E">
      <w:pPr>
        <w:pStyle w:val="Titre2"/>
        <w:ind w:left="3054" w:hanging="1762"/>
      </w:pPr>
      <w:r>
        <w:t xml:space="preserve">ANNEXE   SOURCES DOCUMENTAIRES ET INSTITUTIONNELLES </w:t>
      </w:r>
    </w:p>
    <w:p w14:paraId="4C91E6D3" w14:textId="77777777" w:rsidR="00CD748F" w:rsidRDefault="00426F7E">
      <w:pPr>
        <w:spacing w:after="76" w:line="259" w:lineRule="auto"/>
        <w:ind w:left="0" w:right="0" w:firstLine="0"/>
        <w:jc w:val="left"/>
      </w:pPr>
      <w:r>
        <w:rPr>
          <w:rFonts w:cs="Cambria"/>
          <w:b/>
        </w:rPr>
        <w:t xml:space="preserve"> </w:t>
      </w:r>
    </w:p>
    <w:p w14:paraId="145108BE" w14:textId="77777777" w:rsidR="00CD748F" w:rsidRDefault="00426F7E">
      <w:pPr>
        <w:spacing w:after="78" w:line="259" w:lineRule="auto"/>
        <w:ind w:left="0" w:right="0" w:firstLine="0"/>
        <w:jc w:val="left"/>
      </w:pPr>
      <w:r>
        <w:rPr>
          <w:rFonts w:cs="Cambria"/>
          <w:b/>
        </w:rPr>
        <w:t xml:space="preserve"> </w:t>
      </w:r>
    </w:p>
    <w:p w14:paraId="03C91D92" w14:textId="77777777" w:rsidR="00CD748F" w:rsidRDefault="00426F7E">
      <w:pPr>
        <w:spacing w:after="78" w:line="259" w:lineRule="auto"/>
        <w:ind w:left="0" w:right="0" w:firstLine="0"/>
        <w:jc w:val="left"/>
      </w:pPr>
      <w:r>
        <w:rPr>
          <w:rFonts w:cs="Cambria"/>
          <w:b/>
        </w:rPr>
        <w:t xml:space="preserve"> </w:t>
      </w:r>
    </w:p>
    <w:p w14:paraId="55801486" w14:textId="77777777" w:rsidR="00CD748F" w:rsidRDefault="00426F7E">
      <w:pPr>
        <w:spacing w:after="78" w:line="259" w:lineRule="auto"/>
        <w:ind w:left="0" w:right="0" w:firstLine="0"/>
        <w:jc w:val="left"/>
      </w:pPr>
      <w:r>
        <w:rPr>
          <w:rFonts w:cs="Cambria"/>
          <w:b/>
        </w:rPr>
        <w:t xml:space="preserve"> </w:t>
      </w:r>
    </w:p>
    <w:p w14:paraId="2DA03225" w14:textId="77777777" w:rsidR="00CD748F" w:rsidRDefault="00426F7E">
      <w:pPr>
        <w:spacing w:after="78" w:line="259" w:lineRule="auto"/>
        <w:ind w:left="0" w:right="0" w:firstLine="0"/>
        <w:jc w:val="left"/>
      </w:pPr>
      <w:r>
        <w:rPr>
          <w:rFonts w:cs="Cambria"/>
          <w:b/>
        </w:rPr>
        <w:t xml:space="preserve"> </w:t>
      </w:r>
    </w:p>
    <w:p w14:paraId="75B08AA2" w14:textId="77777777" w:rsidR="00CD748F" w:rsidRDefault="00426F7E">
      <w:pPr>
        <w:spacing w:after="76" w:line="259" w:lineRule="auto"/>
        <w:ind w:left="0" w:right="0" w:firstLine="0"/>
        <w:jc w:val="left"/>
      </w:pPr>
      <w:r>
        <w:rPr>
          <w:rFonts w:cs="Cambria"/>
          <w:b/>
        </w:rPr>
        <w:t xml:space="preserve"> </w:t>
      </w:r>
    </w:p>
    <w:p w14:paraId="10C356D9" w14:textId="77777777" w:rsidR="00CD748F" w:rsidRDefault="00426F7E">
      <w:pPr>
        <w:spacing w:after="78" w:line="259" w:lineRule="auto"/>
        <w:ind w:left="0" w:right="0" w:firstLine="0"/>
        <w:jc w:val="left"/>
      </w:pPr>
      <w:r>
        <w:rPr>
          <w:rFonts w:cs="Cambria"/>
          <w:b/>
        </w:rPr>
        <w:t xml:space="preserve"> </w:t>
      </w:r>
    </w:p>
    <w:p w14:paraId="30E78F2F" w14:textId="77777777" w:rsidR="00CD748F" w:rsidRDefault="00426F7E">
      <w:pPr>
        <w:spacing w:after="78" w:line="259" w:lineRule="auto"/>
        <w:ind w:left="0" w:right="0" w:firstLine="0"/>
        <w:jc w:val="left"/>
      </w:pPr>
      <w:r>
        <w:rPr>
          <w:rFonts w:cs="Cambria"/>
          <w:b/>
        </w:rPr>
        <w:t xml:space="preserve"> </w:t>
      </w:r>
    </w:p>
    <w:p w14:paraId="3E6CDB6F" w14:textId="77777777" w:rsidR="00CD748F" w:rsidRDefault="00426F7E">
      <w:pPr>
        <w:spacing w:after="78" w:line="259" w:lineRule="auto"/>
        <w:ind w:left="0" w:right="0" w:firstLine="0"/>
        <w:jc w:val="left"/>
      </w:pPr>
      <w:r>
        <w:rPr>
          <w:rFonts w:cs="Cambria"/>
          <w:b/>
        </w:rPr>
        <w:t xml:space="preserve"> </w:t>
      </w:r>
    </w:p>
    <w:p w14:paraId="712B1799" w14:textId="77777777" w:rsidR="00CD748F" w:rsidRDefault="00426F7E">
      <w:pPr>
        <w:spacing w:after="78" w:line="259" w:lineRule="auto"/>
        <w:ind w:left="0" w:right="0" w:firstLine="0"/>
        <w:jc w:val="left"/>
      </w:pPr>
      <w:r>
        <w:rPr>
          <w:rFonts w:cs="Cambria"/>
          <w:b/>
        </w:rPr>
        <w:t xml:space="preserve"> </w:t>
      </w:r>
    </w:p>
    <w:p w14:paraId="1D354677" w14:textId="77777777" w:rsidR="00CD748F" w:rsidRDefault="00426F7E">
      <w:pPr>
        <w:spacing w:after="79" w:line="259" w:lineRule="auto"/>
        <w:ind w:left="0" w:right="0" w:firstLine="0"/>
        <w:jc w:val="left"/>
      </w:pPr>
      <w:r>
        <w:rPr>
          <w:rFonts w:cs="Cambria"/>
          <w:b/>
        </w:rPr>
        <w:t xml:space="preserve"> </w:t>
      </w:r>
    </w:p>
    <w:p w14:paraId="1FDCFCB4" w14:textId="77777777" w:rsidR="00CD748F" w:rsidRDefault="00426F7E">
      <w:pPr>
        <w:spacing w:after="76" w:line="259" w:lineRule="auto"/>
        <w:ind w:left="0" w:right="0" w:firstLine="0"/>
        <w:jc w:val="left"/>
      </w:pPr>
      <w:r>
        <w:rPr>
          <w:rFonts w:cs="Cambria"/>
          <w:b/>
        </w:rPr>
        <w:t xml:space="preserve"> </w:t>
      </w:r>
    </w:p>
    <w:p w14:paraId="7BD74514" w14:textId="77777777" w:rsidR="00CD748F" w:rsidRDefault="00426F7E">
      <w:pPr>
        <w:spacing w:after="78" w:line="259" w:lineRule="auto"/>
        <w:ind w:left="0" w:right="0" w:firstLine="0"/>
        <w:jc w:val="left"/>
      </w:pPr>
      <w:r>
        <w:rPr>
          <w:rFonts w:cs="Cambria"/>
          <w:b/>
        </w:rPr>
        <w:t xml:space="preserve"> </w:t>
      </w:r>
    </w:p>
    <w:p w14:paraId="0C81F93E" w14:textId="77777777" w:rsidR="00CD748F" w:rsidRDefault="00426F7E">
      <w:pPr>
        <w:spacing w:after="78" w:line="259" w:lineRule="auto"/>
        <w:ind w:left="0" w:right="0" w:firstLine="0"/>
        <w:jc w:val="left"/>
      </w:pPr>
      <w:r>
        <w:rPr>
          <w:rFonts w:cs="Cambria"/>
          <w:b/>
        </w:rPr>
        <w:t xml:space="preserve"> </w:t>
      </w:r>
    </w:p>
    <w:p w14:paraId="7143856E" w14:textId="77777777" w:rsidR="00CD748F" w:rsidRDefault="00426F7E">
      <w:pPr>
        <w:spacing w:after="78" w:line="259" w:lineRule="auto"/>
        <w:ind w:left="0" w:right="0" w:firstLine="0"/>
        <w:jc w:val="left"/>
      </w:pPr>
      <w:r>
        <w:rPr>
          <w:rFonts w:cs="Cambria"/>
          <w:b/>
        </w:rPr>
        <w:t xml:space="preserve"> </w:t>
      </w:r>
    </w:p>
    <w:p w14:paraId="4662B8DC" w14:textId="77777777" w:rsidR="00CD748F" w:rsidRDefault="00426F7E">
      <w:pPr>
        <w:spacing w:after="78" w:line="259" w:lineRule="auto"/>
        <w:ind w:left="0" w:right="0" w:firstLine="0"/>
        <w:jc w:val="left"/>
      </w:pPr>
      <w:r>
        <w:rPr>
          <w:rFonts w:cs="Cambria"/>
          <w:b/>
        </w:rPr>
        <w:t xml:space="preserve"> </w:t>
      </w:r>
    </w:p>
    <w:p w14:paraId="545A98FA" w14:textId="77777777" w:rsidR="00CD748F" w:rsidRDefault="00426F7E">
      <w:pPr>
        <w:spacing w:after="75" w:line="259" w:lineRule="auto"/>
        <w:ind w:left="0" w:right="0" w:firstLine="0"/>
        <w:jc w:val="left"/>
      </w:pPr>
      <w:r>
        <w:rPr>
          <w:rFonts w:cs="Cambria"/>
          <w:b/>
        </w:rPr>
        <w:t xml:space="preserve"> </w:t>
      </w:r>
    </w:p>
    <w:p w14:paraId="32AB8C7B" w14:textId="77777777" w:rsidR="00CD748F" w:rsidRDefault="00426F7E">
      <w:pPr>
        <w:spacing w:after="78" w:line="259" w:lineRule="auto"/>
        <w:ind w:left="0" w:right="0" w:firstLine="0"/>
        <w:jc w:val="left"/>
      </w:pPr>
      <w:r>
        <w:rPr>
          <w:rFonts w:cs="Cambria"/>
          <w:b/>
        </w:rPr>
        <w:t xml:space="preserve"> </w:t>
      </w:r>
    </w:p>
    <w:p w14:paraId="7A392678" w14:textId="77777777" w:rsidR="00CD748F" w:rsidRDefault="00426F7E">
      <w:pPr>
        <w:spacing w:after="0" w:line="259" w:lineRule="auto"/>
        <w:ind w:left="0" w:right="0" w:firstLine="0"/>
        <w:jc w:val="left"/>
      </w:pPr>
      <w:r>
        <w:rPr>
          <w:rFonts w:cs="Cambria"/>
          <w:b/>
        </w:rPr>
        <w:t xml:space="preserve"> </w:t>
      </w:r>
    </w:p>
    <w:p w14:paraId="7D85B6FC" w14:textId="77777777" w:rsidR="00CD748F" w:rsidRDefault="00426F7E">
      <w:pPr>
        <w:spacing w:after="65"/>
        <w:ind w:left="-5" w:right="0"/>
      </w:pPr>
      <w:r>
        <w:rPr>
          <w:rFonts w:cs="Cambria"/>
          <w:b/>
        </w:rPr>
        <w:t xml:space="preserve">[F1] </w:t>
      </w:r>
      <w:r>
        <w:t>Audit documentaire public de performance 2021</w:t>
      </w:r>
      <w:r>
        <w:rPr>
          <w:rFonts w:cs="Cambria"/>
        </w:rPr>
        <w:t>–</w:t>
      </w:r>
      <w:r>
        <w:rPr>
          <w:rFonts w:cs="Cambria"/>
        </w:rPr>
        <w:t xml:space="preserve">2026   document fourni par l’utilisateur, </w:t>
      </w:r>
      <w:r>
        <w:t xml:space="preserve">arrêté au 06.10.2026. </w:t>
      </w:r>
    </w:p>
    <w:p w14:paraId="0DC9E93F" w14:textId="77777777" w:rsidR="00CD748F" w:rsidRDefault="00426F7E">
      <w:pPr>
        <w:spacing w:after="74" w:line="261" w:lineRule="auto"/>
        <w:ind w:left="-5" w:right="0"/>
      </w:pPr>
      <w:r>
        <w:rPr>
          <w:rFonts w:cs="Cambria"/>
          <w:b/>
        </w:rPr>
        <w:t xml:space="preserve">[F2] </w:t>
      </w:r>
      <w:r>
        <w:rPr>
          <w:rFonts w:cs="Cambria"/>
        </w:rPr>
        <w:t>Bilan du gouvernement sortant d’Aziz Akhannouch 2021–</w:t>
      </w:r>
      <w:r>
        <w:t xml:space="preserve">2026   document fourni par </w:t>
      </w:r>
      <w:r>
        <w:rPr>
          <w:rFonts w:cs="Cambria"/>
        </w:rPr>
        <w:t>l’utilisateur, arrêté au 06.10.2026.</w:t>
      </w:r>
      <w:r>
        <w:t xml:space="preserve"> </w:t>
      </w:r>
    </w:p>
    <w:p w14:paraId="1605C791" w14:textId="77777777" w:rsidR="00CD748F" w:rsidRDefault="00426F7E">
      <w:pPr>
        <w:spacing w:after="16" w:line="261" w:lineRule="auto"/>
        <w:ind w:left="-5" w:right="0"/>
      </w:pPr>
      <w:r>
        <w:rPr>
          <w:rFonts w:cs="Cambria"/>
          <w:b/>
        </w:rPr>
        <w:t xml:space="preserve">[F3] </w:t>
      </w:r>
      <w:r>
        <w:rPr>
          <w:rFonts w:cs="Cambria"/>
        </w:rPr>
        <w:t xml:space="preserve">Rapport spécial d’évaluation contradictoire V3E   document fourni par l’utilisateur, arrêté au </w:t>
      </w:r>
    </w:p>
    <w:p w14:paraId="76C5C98F" w14:textId="77777777" w:rsidR="00CD748F" w:rsidRDefault="00426F7E">
      <w:pPr>
        <w:spacing w:after="68"/>
        <w:ind w:left="-5" w:right="0"/>
      </w:pPr>
      <w:r>
        <w:t xml:space="preserve">07.10.2026. </w:t>
      </w:r>
    </w:p>
    <w:p w14:paraId="1CD26285" w14:textId="77777777" w:rsidR="00CD748F" w:rsidRDefault="00426F7E">
      <w:pPr>
        <w:spacing w:after="65"/>
        <w:ind w:left="-5" w:right="0"/>
      </w:pPr>
      <w:r>
        <w:rPr>
          <w:rFonts w:cs="Cambria"/>
          <w:b/>
        </w:rPr>
        <w:t xml:space="preserve">[S1] </w:t>
      </w:r>
      <w:r>
        <w:t xml:space="preserve">HCP   Activité, emploi et chômage, résultats annuels 2025   https://www.hcp.ma/Activiteemploi-et-chomage-resultats-annuels-2025_a4310.html </w:t>
      </w:r>
    </w:p>
    <w:p w14:paraId="4E1A4DA0" w14:textId="77777777" w:rsidR="00CD748F" w:rsidRDefault="00426F7E">
      <w:pPr>
        <w:spacing w:after="14" w:line="261" w:lineRule="auto"/>
        <w:ind w:left="-5" w:right="0"/>
      </w:pPr>
      <w:r>
        <w:rPr>
          <w:rFonts w:cs="Cambria"/>
          <w:b/>
        </w:rPr>
        <w:t xml:space="preserve">[S2] </w:t>
      </w:r>
      <w:r>
        <w:rPr>
          <w:rFonts w:cs="Cambria"/>
        </w:rPr>
        <w:t>Cour des comptes   Rapports d’exécution des lois de finances 2022–</w:t>
      </w:r>
      <w:r>
        <w:t xml:space="preserve">2024 et rapport annuel </w:t>
      </w:r>
    </w:p>
    <w:p w14:paraId="6220CDA3" w14:textId="77777777" w:rsidR="00CD748F" w:rsidRDefault="00426F7E">
      <w:pPr>
        <w:spacing w:after="68"/>
        <w:ind w:left="-5" w:right="0"/>
      </w:pPr>
      <w:r>
        <w:t>2024</w:t>
      </w:r>
      <w:r>
        <w:rPr>
          <w:rFonts w:cs="Cambria"/>
        </w:rPr>
        <w:t>–</w:t>
      </w:r>
      <w:r>
        <w:t xml:space="preserve">2025   https://www.courdescomptes.ma/ </w:t>
      </w:r>
    </w:p>
    <w:p w14:paraId="1F7DD03E" w14:textId="77777777" w:rsidR="00CD748F" w:rsidRDefault="00426F7E">
      <w:pPr>
        <w:spacing w:after="65"/>
        <w:ind w:left="-5" w:right="0"/>
      </w:pPr>
      <w:r>
        <w:rPr>
          <w:rFonts w:cs="Cambria"/>
          <w:b/>
        </w:rPr>
        <w:t xml:space="preserve">[S3] </w:t>
      </w:r>
      <w:r>
        <w:t xml:space="preserve">Conseil de la concurrence   décisions et suivi du marché des hydrocarbures   https://conseilconcurrence.ma/ </w:t>
      </w:r>
    </w:p>
    <w:p w14:paraId="38AA8ED3" w14:textId="77777777" w:rsidR="00CD748F" w:rsidRDefault="00426F7E">
      <w:pPr>
        <w:spacing w:after="77"/>
        <w:ind w:left="-5" w:right="0"/>
      </w:pPr>
      <w:r>
        <w:rPr>
          <w:rFonts w:cs="Cambria"/>
          <w:b/>
        </w:rPr>
        <w:t xml:space="preserve">[S4] </w:t>
      </w:r>
      <w:r>
        <w:t xml:space="preserve">Observatoire du Tourisme   statistiques et emplois   https://observatoiredutourisme.ma/ </w:t>
      </w:r>
    </w:p>
    <w:p w14:paraId="02360641" w14:textId="77777777" w:rsidR="00CD748F" w:rsidRDefault="00426F7E">
      <w:pPr>
        <w:tabs>
          <w:tab w:val="center" w:pos="1393"/>
          <w:tab w:val="center" w:pos="2473"/>
          <w:tab w:val="center" w:pos="3481"/>
          <w:tab w:val="center" w:pos="4859"/>
          <w:tab w:val="center" w:pos="6551"/>
          <w:tab w:val="center" w:pos="7750"/>
          <w:tab w:val="center" w:pos="8355"/>
          <w:tab w:val="right" w:pos="9977"/>
        </w:tabs>
        <w:spacing w:after="13"/>
        <w:ind w:left="-15" w:right="0" w:firstLine="0"/>
        <w:jc w:val="left"/>
      </w:pPr>
      <w:r>
        <w:rPr>
          <w:rFonts w:cs="Cambria"/>
          <w:b/>
        </w:rPr>
        <w:t xml:space="preserve">[S5] </w:t>
      </w:r>
      <w:r>
        <w:rPr>
          <w:rFonts w:cs="Cambria"/>
          <w:b/>
        </w:rPr>
        <w:tab/>
      </w:r>
      <w:r>
        <w:t xml:space="preserve">Feuille </w:t>
      </w:r>
      <w:r>
        <w:tab/>
        <w:t xml:space="preserve">de </w:t>
      </w:r>
      <w:r>
        <w:tab/>
        <w:t xml:space="preserve">route </w:t>
      </w:r>
      <w:r>
        <w:tab/>
        <w:t xml:space="preserve">Tourisme </w:t>
      </w:r>
      <w:r>
        <w:tab/>
        <w:t>2023</w:t>
      </w:r>
      <w:r>
        <w:rPr>
          <w:rFonts w:cs="Cambria"/>
        </w:rPr>
        <w:t>–</w:t>
      </w:r>
      <w:r>
        <w:t xml:space="preserve">2026 </w:t>
      </w:r>
      <w:r>
        <w:tab/>
        <w:t xml:space="preserve"> </w:t>
      </w:r>
      <w:r>
        <w:tab/>
        <w:t xml:space="preserve"> </w:t>
      </w:r>
      <w:r>
        <w:tab/>
        <w:t xml:space="preserve">Maroc.ma   </w:t>
      </w:r>
    </w:p>
    <w:p w14:paraId="6D9A97AB" w14:textId="77777777" w:rsidR="00CD748F" w:rsidRDefault="00426F7E">
      <w:pPr>
        <w:spacing w:after="66"/>
        <w:ind w:left="-5" w:right="0"/>
      </w:pPr>
      <w:r>
        <w:t xml:space="preserve">https://www.maroc.ma/sites/default/files/2024-11/tourisme-fr.pdf </w:t>
      </w:r>
    </w:p>
    <w:p w14:paraId="5EB973D5" w14:textId="77777777" w:rsidR="00CD748F" w:rsidRDefault="00426F7E">
      <w:pPr>
        <w:spacing w:after="68"/>
        <w:ind w:left="-5" w:right="0"/>
      </w:pPr>
      <w:r>
        <w:rPr>
          <w:rFonts w:cs="Cambria"/>
          <w:b/>
        </w:rPr>
        <w:t xml:space="preserve">[S6] </w:t>
      </w:r>
      <w:r>
        <w:t xml:space="preserve">Office des Changes   échanges extérieurs et IDE   https://www.oc.gov.ma/fr/publications </w:t>
      </w:r>
    </w:p>
    <w:p w14:paraId="0B9D94C3" w14:textId="77777777" w:rsidR="00CD748F" w:rsidRDefault="00426F7E">
      <w:pPr>
        <w:spacing w:after="77"/>
        <w:ind w:left="-5" w:right="0"/>
      </w:pPr>
      <w:r>
        <w:rPr>
          <w:rFonts w:cs="Cambria"/>
          <w:b/>
        </w:rPr>
        <w:t xml:space="preserve">[S9] </w:t>
      </w:r>
      <w:r>
        <w:t xml:space="preserve">ANRE / panorama électricité et renouvelables   https://anre.ma/ </w:t>
      </w:r>
    </w:p>
    <w:p w14:paraId="3760C346" w14:textId="77777777" w:rsidR="00CD748F" w:rsidRDefault="00426F7E">
      <w:pPr>
        <w:spacing w:after="64"/>
        <w:ind w:left="-5" w:right="0"/>
      </w:pPr>
      <w:r>
        <w:rPr>
          <w:rFonts w:cs="Cambria"/>
          <w:b/>
        </w:rPr>
        <w:t xml:space="preserve">[S10] </w:t>
      </w:r>
      <w:r>
        <w:rPr>
          <w:rFonts w:cs="Cambria"/>
          <w:b/>
        </w:rPr>
        <w:tab/>
      </w:r>
      <w:r>
        <w:t xml:space="preserve">Ministère </w:t>
      </w:r>
      <w:r>
        <w:tab/>
        <w:t xml:space="preserve">de </w:t>
      </w:r>
      <w:r>
        <w:tab/>
        <w:t xml:space="preserve">la </w:t>
      </w:r>
      <w:r>
        <w:tab/>
        <w:t xml:space="preserve">Transition </w:t>
      </w:r>
      <w:r>
        <w:tab/>
        <w:t xml:space="preserve">énergétique </w:t>
      </w:r>
      <w:r>
        <w:tab/>
        <w:t xml:space="preserve"> </w:t>
      </w:r>
      <w:r>
        <w:tab/>
        <w:t xml:space="preserve"> </w:t>
      </w:r>
      <w:r>
        <w:tab/>
        <w:t xml:space="preserve">énergies </w:t>
      </w:r>
      <w:r>
        <w:tab/>
        <w:t xml:space="preserve">renouvelables   https://mem.gov.ma/pages/secteur6659.html?e=2 </w:t>
      </w:r>
    </w:p>
    <w:p w14:paraId="16302462" w14:textId="77777777" w:rsidR="00CD748F" w:rsidRDefault="00426F7E">
      <w:pPr>
        <w:spacing w:after="65"/>
        <w:ind w:left="-5" w:right="0"/>
      </w:pPr>
      <w:r>
        <w:rPr>
          <w:rFonts w:cs="Cambria"/>
          <w:b/>
        </w:rPr>
        <w:t xml:space="preserve">[S11] </w:t>
      </w:r>
      <w:r>
        <w:t xml:space="preserve">Maroc.ma   Offre Maroc hydrogène vert   https://www.maroc.ma/fr/actualites/hydrogenevert-adoption-dune-serie-de-mesures-et-validation-de-la-cloture-de-la-phase-preliminaire-du </w:t>
      </w:r>
    </w:p>
    <w:p w14:paraId="4FF06FCF" w14:textId="77777777" w:rsidR="00CD748F" w:rsidRDefault="00426F7E">
      <w:pPr>
        <w:spacing w:after="65"/>
        <w:ind w:left="-5" w:right="0"/>
      </w:pPr>
      <w:r>
        <w:rPr>
          <w:rFonts w:cs="Cambria"/>
          <w:b/>
        </w:rPr>
        <w:t xml:space="preserve">[S12] </w:t>
      </w:r>
      <w:r>
        <w:t xml:space="preserve">Maroc Digital 2030   présentation institutionnelle   https://www.maroc.ma/fr/strategiespolitiques-publiques </w:t>
      </w:r>
    </w:p>
    <w:p w14:paraId="55FE387B" w14:textId="77777777" w:rsidR="00CD748F" w:rsidRDefault="00426F7E">
      <w:pPr>
        <w:spacing w:after="74"/>
        <w:ind w:left="-5" w:right="0"/>
      </w:pPr>
      <w:r>
        <w:rPr>
          <w:rFonts w:cs="Cambria"/>
          <w:b/>
        </w:rPr>
        <w:t xml:space="preserve">[S13] </w:t>
      </w:r>
      <w:r>
        <w:t xml:space="preserve">Maroc.ma   accélération de Maroc Digital 2030   https://www.maroc.ma/fr/actualites/lemaroc-accelere-la-mise-en-oeuvre-de-sa-strategie-numerique-2030 </w:t>
      </w:r>
    </w:p>
    <w:p w14:paraId="14C9B030" w14:textId="77777777" w:rsidR="00CD748F" w:rsidRDefault="00426F7E">
      <w:pPr>
        <w:tabs>
          <w:tab w:val="center" w:pos="1344"/>
          <w:tab w:val="center" w:pos="2105"/>
          <w:tab w:val="center" w:pos="2563"/>
          <w:tab w:val="center" w:pos="3675"/>
          <w:tab w:val="center" w:pos="4925"/>
          <w:tab w:val="center" w:pos="5784"/>
          <w:tab w:val="center" w:pos="6507"/>
          <w:tab w:val="center" w:pos="6965"/>
          <w:tab w:val="right" w:pos="9977"/>
        </w:tabs>
        <w:spacing w:after="10"/>
        <w:ind w:left="-15" w:right="0" w:firstLine="0"/>
        <w:jc w:val="left"/>
      </w:pPr>
      <w:r>
        <w:rPr>
          <w:rFonts w:cs="Cambria"/>
          <w:b/>
        </w:rPr>
        <w:t xml:space="preserve">[S14] </w:t>
      </w:r>
      <w:r>
        <w:rPr>
          <w:rFonts w:cs="Cambria"/>
          <w:b/>
        </w:rPr>
        <w:tab/>
      </w:r>
      <w:r>
        <w:t xml:space="preserve">ANRT </w:t>
      </w:r>
      <w:r>
        <w:tab/>
        <w:t xml:space="preserve"> </w:t>
      </w:r>
      <w:r>
        <w:tab/>
        <w:t xml:space="preserve"> </w:t>
      </w:r>
      <w:r>
        <w:tab/>
        <w:t xml:space="preserve">observatoire </w:t>
      </w:r>
      <w:r>
        <w:tab/>
        <w:t xml:space="preserve">T1 </w:t>
      </w:r>
      <w:r>
        <w:tab/>
        <w:t xml:space="preserve">2026 </w:t>
      </w:r>
      <w:r>
        <w:tab/>
        <w:t xml:space="preserve"> </w:t>
      </w:r>
      <w:r>
        <w:tab/>
        <w:t xml:space="preserve"> </w:t>
      </w:r>
      <w:r>
        <w:tab/>
        <w:t>https://www.anrt.ma/a-</w:t>
      </w:r>
    </w:p>
    <w:p w14:paraId="1878CB53" w14:textId="77777777" w:rsidR="00CD748F" w:rsidRDefault="00426F7E">
      <w:pPr>
        <w:spacing w:after="68"/>
        <w:ind w:left="-5" w:right="0"/>
      </w:pPr>
      <w:r>
        <w:t xml:space="preserve">propos/communiques/observatoires-du-secteur-au-titre-du-t-1-2026 </w:t>
      </w:r>
    </w:p>
    <w:p w14:paraId="6D1CF73B" w14:textId="77777777" w:rsidR="00CD748F" w:rsidRDefault="00426F7E">
      <w:pPr>
        <w:spacing w:after="65"/>
        <w:ind w:left="-5" w:right="0"/>
      </w:pPr>
      <w:r>
        <w:rPr>
          <w:rFonts w:cs="Cambria"/>
          <w:b/>
        </w:rPr>
        <w:t xml:space="preserve">[S15] </w:t>
      </w:r>
      <w:r>
        <w:t xml:space="preserve">Maroc.ma   couverture haut débit   https://www.maroc.ma/fr/actualites/plus-de-10690zones-couvertes-par-les-services-de-telecommunications-haut-debit </w:t>
      </w:r>
    </w:p>
    <w:p w14:paraId="0B458899" w14:textId="77777777" w:rsidR="00CD748F" w:rsidRDefault="00426F7E">
      <w:pPr>
        <w:spacing w:after="65"/>
        <w:ind w:left="-5" w:right="0"/>
      </w:pPr>
      <w:r>
        <w:rPr>
          <w:rFonts w:cs="Cambria"/>
          <w:b/>
        </w:rPr>
        <w:t xml:space="preserve">[S16] </w:t>
      </w:r>
      <w:r>
        <w:t xml:space="preserve">Maroc.ma   Maroc IA 2030   https://www.maroc.ma/fr/actualites/les-principales-avanceesde-la-feuille-de-route-maroc-ia-2030 </w:t>
      </w:r>
    </w:p>
    <w:p w14:paraId="05961A4C" w14:textId="77777777" w:rsidR="00CD748F" w:rsidRDefault="00426F7E">
      <w:pPr>
        <w:spacing w:after="66"/>
        <w:ind w:left="-5" w:right="0"/>
      </w:pPr>
      <w:r>
        <w:rPr>
          <w:rFonts w:cs="Cambria"/>
          <w:b/>
        </w:rPr>
        <w:t xml:space="preserve">[S17] </w:t>
      </w:r>
      <w:r>
        <w:t xml:space="preserve">ANRT   lancement de la 5G   https://www.anrt.ma/a-propos/communiques/lancement-desservices-5g </w:t>
      </w:r>
    </w:p>
    <w:p w14:paraId="6A7B7860" w14:textId="77777777" w:rsidR="00CD748F" w:rsidRDefault="00426F7E">
      <w:pPr>
        <w:spacing w:after="74"/>
        <w:ind w:left="-5" w:right="0"/>
      </w:pPr>
      <w:r>
        <w:rPr>
          <w:rFonts w:cs="Cambria"/>
          <w:b/>
        </w:rPr>
        <w:t xml:space="preserve">[S18] </w:t>
      </w:r>
      <w:r>
        <w:t xml:space="preserve">Maroc.ma   17,4 M arrivées touristiques 2024   https://maroc.ma/fr/actualites/le-marocretrouve-sa-place-de-premiere-destination-touristique-en-afrique </w:t>
      </w:r>
    </w:p>
    <w:p w14:paraId="1DC5DF82" w14:textId="77777777" w:rsidR="00CD748F" w:rsidRDefault="00426F7E">
      <w:pPr>
        <w:tabs>
          <w:tab w:val="center" w:pos="1344"/>
          <w:tab w:val="center" w:pos="2105"/>
          <w:tab w:val="center" w:pos="2359"/>
          <w:tab w:val="center" w:pos="3076"/>
          <w:tab w:val="center" w:pos="4083"/>
          <w:tab w:val="center" w:pos="4854"/>
          <w:tab w:val="center" w:pos="5461"/>
          <w:tab w:val="center" w:pos="5974"/>
          <w:tab w:val="center" w:pos="6457"/>
          <w:tab w:val="center" w:pos="7255"/>
          <w:tab w:val="center" w:pos="8053"/>
          <w:tab w:val="center" w:pos="8606"/>
          <w:tab w:val="center" w:pos="9222"/>
          <w:tab w:val="right" w:pos="9977"/>
        </w:tabs>
        <w:spacing w:after="13"/>
        <w:ind w:left="-15" w:right="0" w:firstLine="0"/>
        <w:jc w:val="left"/>
      </w:pPr>
      <w:r>
        <w:rPr>
          <w:rFonts w:cs="Cambria"/>
          <w:b/>
        </w:rPr>
        <w:t xml:space="preserve">[S20] </w:t>
      </w:r>
      <w:r>
        <w:rPr>
          <w:rFonts w:cs="Cambria"/>
          <w:b/>
        </w:rPr>
        <w:tab/>
      </w:r>
      <w:r>
        <w:t xml:space="preserve">Maroc.ma </w:t>
      </w:r>
      <w:r>
        <w:tab/>
        <w:t xml:space="preserve"> </w:t>
      </w:r>
      <w:r>
        <w:tab/>
        <w:t xml:space="preserve"> </w:t>
      </w:r>
      <w:r>
        <w:tab/>
        <w:t xml:space="preserve">tourisme </w:t>
      </w:r>
      <w:r>
        <w:tab/>
        <w:t xml:space="preserve">2025, </w:t>
      </w:r>
      <w:r>
        <w:tab/>
        <w:t xml:space="preserve">près </w:t>
      </w:r>
      <w:r>
        <w:tab/>
        <w:t xml:space="preserve">de </w:t>
      </w:r>
      <w:r>
        <w:tab/>
        <w:t xml:space="preserve">20 </w:t>
      </w:r>
      <w:r>
        <w:tab/>
        <w:t xml:space="preserve">M </w:t>
      </w:r>
      <w:r>
        <w:tab/>
        <w:t xml:space="preserve">visiteurs </w:t>
      </w:r>
      <w:r>
        <w:tab/>
        <w:t xml:space="preserve">et </w:t>
      </w:r>
      <w:r>
        <w:tab/>
        <w:t xml:space="preserve">138 </w:t>
      </w:r>
      <w:r>
        <w:tab/>
        <w:t xml:space="preserve">Md </w:t>
      </w:r>
      <w:r>
        <w:tab/>
        <w:t xml:space="preserve">DH   </w:t>
      </w:r>
    </w:p>
    <w:p w14:paraId="4B1C2F87" w14:textId="77777777" w:rsidR="00CD748F" w:rsidRDefault="00426F7E">
      <w:pPr>
        <w:spacing w:after="3"/>
        <w:ind w:left="-5" w:right="0"/>
      </w:pPr>
      <w:r>
        <w:t xml:space="preserve">https://www.maroc.ma/fr/actualites/tourisme-lancement-a-rabat-de-la-diyafa-celebrationweek </w:t>
      </w:r>
    </w:p>
    <w:p w14:paraId="13583BD1" w14:textId="77777777" w:rsidR="00CD748F" w:rsidRDefault="00426F7E">
      <w:pPr>
        <w:tabs>
          <w:tab w:val="center" w:pos="1455"/>
          <w:tab w:val="center" w:pos="2323"/>
          <w:tab w:val="center" w:pos="2687"/>
          <w:tab w:val="center" w:pos="3626"/>
          <w:tab w:val="center" w:pos="5182"/>
          <w:tab w:val="center" w:pos="6446"/>
          <w:tab w:val="center" w:pos="7709"/>
          <w:tab w:val="center" w:pos="8890"/>
          <w:tab w:val="right" w:pos="9977"/>
        </w:tabs>
        <w:spacing w:after="13"/>
        <w:ind w:left="-15" w:right="0" w:firstLine="0"/>
        <w:jc w:val="left"/>
      </w:pPr>
      <w:r>
        <w:rPr>
          <w:rFonts w:cs="Cambria"/>
          <w:b/>
        </w:rPr>
        <w:t xml:space="preserve">[S22] </w:t>
      </w:r>
      <w:r>
        <w:rPr>
          <w:rFonts w:cs="Cambria"/>
          <w:b/>
        </w:rPr>
        <w:tab/>
      </w:r>
      <w:r>
        <w:t xml:space="preserve">Maroc.ma </w:t>
      </w:r>
      <w:r>
        <w:tab/>
        <w:t xml:space="preserve"> </w:t>
      </w:r>
      <w:r>
        <w:tab/>
        <w:t xml:space="preserve"> </w:t>
      </w:r>
      <w:r>
        <w:tab/>
        <w:t xml:space="preserve">subvention </w:t>
      </w:r>
      <w:r>
        <w:tab/>
        <w:t xml:space="preserve">importation </w:t>
      </w:r>
      <w:r>
        <w:tab/>
        <w:t xml:space="preserve">ovine </w:t>
      </w:r>
      <w:r>
        <w:tab/>
        <w:t>2023</w:t>
      </w:r>
      <w:r>
        <w:rPr>
          <w:rFonts w:cs="Cambria"/>
        </w:rPr>
        <w:t>–</w:t>
      </w:r>
      <w:r>
        <w:t xml:space="preserve">2024, </w:t>
      </w:r>
      <w:r>
        <w:tab/>
        <w:t xml:space="preserve">437 </w:t>
      </w:r>
      <w:r>
        <w:tab/>
        <w:t xml:space="preserve">MDH   </w:t>
      </w:r>
    </w:p>
    <w:p w14:paraId="3AFB7860" w14:textId="77777777" w:rsidR="00CD748F" w:rsidRDefault="00426F7E">
      <w:pPr>
        <w:spacing w:after="63"/>
        <w:ind w:left="-5" w:right="0"/>
      </w:pPr>
      <w:r>
        <w:t xml:space="preserve">https://www.maroc.ma/fr/actualites/aid-al-adha-le-cout-de-loperation-de-subventionlimportation-exceptionnelle-dovins-au-titre-de-2023-et </w:t>
      </w:r>
    </w:p>
    <w:p w14:paraId="5C45BE3C" w14:textId="77777777" w:rsidR="00CD748F" w:rsidRDefault="00426F7E">
      <w:pPr>
        <w:spacing w:after="74"/>
        <w:ind w:left="-5" w:right="0"/>
      </w:pPr>
      <w:r>
        <w:rPr>
          <w:rFonts w:cs="Cambria"/>
          <w:b/>
        </w:rPr>
        <w:t xml:space="preserve">[S23] </w:t>
      </w:r>
      <w:r>
        <w:t xml:space="preserve">Maroc.ma   reconstruction Al Haouz   https://www.maroc.ma/fr/actualites/seisme-dalhaouz-plus-de-53000-habitations-reconstruites-au-10-novembre-courant </w:t>
      </w:r>
    </w:p>
    <w:p w14:paraId="7A9FE8F2" w14:textId="77777777" w:rsidR="00CD748F" w:rsidRDefault="00426F7E">
      <w:pPr>
        <w:tabs>
          <w:tab w:val="center" w:pos="1644"/>
          <w:tab w:val="center" w:pos="2704"/>
          <w:tab w:val="center" w:pos="3259"/>
          <w:tab w:val="center" w:pos="4419"/>
          <w:tab w:val="center" w:pos="5704"/>
          <w:tab w:val="center" w:pos="7113"/>
          <w:tab w:val="center" w:pos="8530"/>
          <w:tab w:val="right" w:pos="9977"/>
        </w:tabs>
        <w:spacing w:after="13"/>
        <w:ind w:left="-15" w:right="0" w:firstLine="0"/>
        <w:jc w:val="left"/>
      </w:pPr>
      <w:r>
        <w:rPr>
          <w:rFonts w:cs="Cambria"/>
          <w:b/>
        </w:rPr>
        <w:t xml:space="preserve">[S24] </w:t>
      </w:r>
      <w:r>
        <w:rPr>
          <w:rFonts w:cs="Cambria"/>
          <w:b/>
        </w:rPr>
        <w:tab/>
      </w:r>
      <w:r>
        <w:t xml:space="preserve">Maroc.ma </w:t>
      </w:r>
      <w:r>
        <w:tab/>
        <w:t xml:space="preserve"> </w:t>
      </w:r>
      <w:r>
        <w:tab/>
        <w:t xml:space="preserve"> </w:t>
      </w:r>
      <w:r>
        <w:tab/>
        <w:t xml:space="preserve">programme </w:t>
      </w:r>
      <w:r>
        <w:tab/>
        <w:t xml:space="preserve">de </w:t>
      </w:r>
      <w:r>
        <w:tab/>
        <w:t xml:space="preserve">reconstitution </w:t>
      </w:r>
      <w:r>
        <w:tab/>
        <w:t xml:space="preserve">du </w:t>
      </w:r>
      <w:r>
        <w:tab/>
        <w:t xml:space="preserve">cheptel   </w:t>
      </w:r>
    </w:p>
    <w:p w14:paraId="63B8945B" w14:textId="77777777" w:rsidR="00CD748F" w:rsidRDefault="00426F7E">
      <w:pPr>
        <w:spacing w:after="65"/>
        <w:ind w:left="-5" w:right="0"/>
      </w:pPr>
      <w:r>
        <w:t xml:space="preserve">https://www.maroc.ma/fr/actualites/programme-de-reconstitution-du-cheptel-avanceesmajeures-et-328-millions-de-tetes-recensees </w:t>
      </w:r>
    </w:p>
    <w:p w14:paraId="3B205E6C" w14:textId="77777777" w:rsidR="00CD748F" w:rsidRDefault="00426F7E">
      <w:pPr>
        <w:spacing w:after="6"/>
        <w:ind w:left="-5" w:right="0"/>
      </w:pPr>
      <w:r>
        <w:rPr>
          <w:rFonts w:cs="Cambria"/>
          <w:b/>
        </w:rPr>
        <w:t xml:space="preserve">[S25] </w:t>
      </w:r>
      <w:r>
        <w:t>Ministère de la Santé   rapport national ODD 3 / infrastructures sanitaires   https://www.sante.gov.ma/Documents/2025/07/Rapport%20National%20sur%20la%20Mise</w:t>
      </w:r>
    </w:p>
    <w:p w14:paraId="63D31645" w14:textId="77777777" w:rsidR="00CD748F" w:rsidRDefault="00426F7E">
      <w:pPr>
        <w:spacing w:after="9"/>
        <w:ind w:left="-5" w:right="0"/>
      </w:pPr>
      <w:r>
        <w:t>%20en%20%C5%92uvre%20de%20l%E2%80%99ODD-</w:t>
      </w:r>
    </w:p>
    <w:p w14:paraId="340A4862" w14:textId="77777777" w:rsidR="00CD748F" w:rsidRDefault="00426F7E">
      <w:pPr>
        <w:spacing w:after="77"/>
        <w:ind w:left="-5" w:right="0"/>
      </w:pPr>
      <w:r>
        <w:t xml:space="preserve">3%20au%20titre%20de%20l%27ann%C3%A9e%202024.pdf </w:t>
      </w:r>
    </w:p>
    <w:p w14:paraId="09879FFC" w14:textId="77777777" w:rsidR="00CD748F" w:rsidRDefault="00426F7E">
      <w:pPr>
        <w:spacing w:after="9"/>
        <w:ind w:left="-5" w:right="0"/>
      </w:pPr>
      <w:r>
        <w:rPr>
          <w:rFonts w:cs="Cambria"/>
          <w:b/>
        </w:rPr>
        <w:t xml:space="preserve">[S28] </w:t>
      </w:r>
      <w:r>
        <w:rPr>
          <w:rFonts w:cs="Cambria"/>
          <w:b/>
        </w:rPr>
        <w:tab/>
      </w:r>
      <w:r>
        <w:rPr>
          <w:rFonts w:cs="Cambria"/>
        </w:rPr>
        <w:t xml:space="preserve">Ministère </w:t>
      </w:r>
      <w:r>
        <w:rPr>
          <w:rFonts w:cs="Cambria"/>
        </w:rPr>
        <w:tab/>
        <w:t xml:space="preserve">de </w:t>
      </w:r>
      <w:r>
        <w:rPr>
          <w:rFonts w:cs="Cambria"/>
        </w:rPr>
        <w:tab/>
        <w:t xml:space="preserve">l’Économie </w:t>
      </w:r>
      <w:r>
        <w:rPr>
          <w:rFonts w:cs="Cambria"/>
        </w:rPr>
        <w:tab/>
        <w:t xml:space="preserve">et </w:t>
      </w:r>
      <w:r>
        <w:rPr>
          <w:rFonts w:cs="Cambria"/>
        </w:rPr>
        <w:tab/>
        <w:t xml:space="preserve">des </w:t>
      </w:r>
      <w:r>
        <w:rPr>
          <w:rFonts w:cs="Cambria"/>
        </w:rPr>
        <w:tab/>
        <w:t xml:space="preserve">Finances </w:t>
      </w:r>
      <w:r>
        <w:rPr>
          <w:rFonts w:cs="Cambria"/>
        </w:rPr>
        <w:tab/>
        <w:t xml:space="preserve"> </w:t>
      </w:r>
      <w:r>
        <w:rPr>
          <w:rFonts w:cs="Cambria"/>
        </w:rPr>
        <w:tab/>
        <w:t xml:space="preserve"> </w:t>
      </w:r>
      <w:r>
        <w:rPr>
          <w:rFonts w:cs="Cambria"/>
        </w:rPr>
        <w:tab/>
        <w:t xml:space="preserve">dépenses </w:t>
      </w:r>
      <w:r>
        <w:rPr>
          <w:rFonts w:cs="Cambria"/>
        </w:rPr>
        <w:tab/>
        <w:t xml:space="preserve">fiscales </w:t>
      </w:r>
      <w:r>
        <w:rPr>
          <w:rFonts w:cs="Cambria"/>
        </w:rPr>
        <w:tab/>
        <w:t xml:space="preserve">2026   </w:t>
      </w:r>
      <w:r>
        <w:t>https://www.finances.gov.ma/Publication/db/2026/DGI_Synth%C3%A8se%20Rapport%20d%</w:t>
      </w:r>
    </w:p>
    <w:p w14:paraId="33114BDB" w14:textId="77777777" w:rsidR="00CD748F" w:rsidRDefault="00426F7E">
      <w:pPr>
        <w:spacing w:after="66"/>
        <w:ind w:left="-5" w:right="0"/>
      </w:pPr>
      <w:r>
        <w:t xml:space="preserve">C3%A9penses%20fiscales_FR.pdf </w:t>
      </w:r>
    </w:p>
    <w:p w14:paraId="3997EB13" w14:textId="77777777" w:rsidR="00CD748F" w:rsidRDefault="00426F7E">
      <w:pPr>
        <w:spacing w:after="82" w:line="261" w:lineRule="auto"/>
        <w:ind w:left="-5" w:right="0"/>
      </w:pPr>
      <w:r>
        <w:rPr>
          <w:rFonts w:cs="Cambria"/>
          <w:b/>
        </w:rPr>
        <w:t xml:space="preserve">[S29] </w:t>
      </w:r>
      <w:r>
        <w:rPr>
          <w:rFonts w:cs="Cambria"/>
        </w:rPr>
        <w:t xml:space="preserve">Ministère de l’Économie et des Finances   réforme fiscale / programmation   </w:t>
      </w:r>
      <w:r>
        <w:t xml:space="preserve">https://www.finances.gov.ma/ </w:t>
      </w:r>
    </w:p>
    <w:p w14:paraId="1421FB91" w14:textId="77777777" w:rsidR="00CD748F" w:rsidRDefault="00426F7E">
      <w:pPr>
        <w:tabs>
          <w:tab w:val="center" w:pos="1512"/>
          <w:tab w:val="center" w:pos="2618"/>
          <w:tab w:val="center" w:pos="3858"/>
          <w:tab w:val="center" w:pos="4917"/>
          <w:tab w:val="center" w:pos="5550"/>
          <w:tab w:val="center" w:pos="6654"/>
          <w:tab w:val="center" w:pos="8284"/>
          <w:tab w:val="right" w:pos="9977"/>
        </w:tabs>
        <w:spacing w:after="13"/>
        <w:ind w:left="-15" w:right="0" w:firstLine="0"/>
        <w:jc w:val="left"/>
      </w:pPr>
      <w:r>
        <w:rPr>
          <w:rFonts w:cs="Cambria"/>
          <w:b/>
        </w:rPr>
        <w:t xml:space="preserve">[S30] </w:t>
      </w:r>
      <w:r>
        <w:rPr>
          <w:rFonts w:cs="Cambria"/>
          <w:b/>
        </w:rPr>
        <w:tab/>
      </w:r>
      <w:r>
        <w:t xml:space="preserve">Office </w:t>
      </w:r>
      <w:r>
        <w:tab/>
        <w:t xml:space="preserve">des </w:t>
      </w:r>
      <w:r>
        <w:tab/>
        <w:t xml:space="preserve">Changes </w:t>
      </w:r>
      <w:r>
        <w:tab/>
        <w:t xml:space="preserve"> </w:t>
      </w:r>
      <w:r>
        <w:tab/>
        <w:t xml:space="preserve"> </w:t>
      </w:r>
      <w:r>
        <w:tab/>
        <w:t xml:space="preserve">échanges </w:t>
      </w:r>
      <w:r>
        <w:tab/>
        <w:t xml:space="preserve">extérieurs </w:t>
      </w:r>
      <w:r>
        <w:tab/>
        <w:t xml:space="preserve">2025   </w:t>
      </w:r>
    </w:p>
    <w:p w14:paraId="76BC9DF9" w14:textId="77777777" w:rsidR="00CD748F" w:rsidRDefault="00426F7E">
      <w:pPr>
        <w:spacing w:after="77"/>
        <w:ind w:left="-5" w:right="0"/>
      </w:pPr>
      <w:r>
        <w:t xml:space="preserve">https://www.oc.gov.ma/fr/actualites/indicateurs-des-echanges-exterieurs-a-fin-decembre-2025 </w:t>
      </w:r>
    </w:p>
    <w:p w14:paraId="3D05516B" w14:textId="77777777" w:rsidR="00CD748F" w:rsidRDefault="00426F7E">
      <w:pPr>
        <w:tabs>
          <w:tab w:val="center" w:pos="1506"/>
          <w:tab w:val="center" w:pos="2429"/>
          <w:tab w:val="center" w:pos="2952"/>
          <w:tab w:val="center" w:pos="3919"/>
          <w:tab w:val="center" w:pos="5380"/>
          <w:tab w:val="center" w:pos="6847"/>
          <w:tab w:val="center" w:pos="8368"/>
          <w:tab w:val="right" w:pos="9977"/>
        </w:tabs>
        <w:spacing w:after="11"/>
        <w:ind w:left="-15" w:right="0" w:firstLine="0"/>
        <w:jc w:val="left"/>
      </w:pPr>
      <w:r>
        <w:rPr>
          <w:rFonts w:cs="Cambria"/>
          <w:b/>
        </w:rPr>
        <w:t xml:space="preserve">[S31] </w:t>
      </w:r>
      <w:r>
        <w:rPr>
          <w:rFonts w:cs="Cambria"/>
          <w:b/>
        </w:rPr>
        <w:tab/>
      </w:r>
      <w:r>
        <w:t xml:space="preserve">Reuters </w:t>
      </w:r>
      <w:r>
        <w:tab/>
        <w:t xml:space="preserve"> </w:t>
      </w:r>
      <w:r>
        <w:tab/>
        <w:t xml:space="preserve"> </w:t>
      </w:r>
      <w:r>
        <w:tab/>
        <w:t xml:space="preserve">Morocco </w:t>
      </w:r>
      <w:r>
        <w:tab/>
        <w:t xml:space="preserve">youth-led </w:t>
      </w:r>
      <w:r>
        <w:tab/>
        <w:t xml:space="preserve">protests, </w:t>
      </w:r>
      <w:r>
        <w:tab/>
        <w:t xml:space="preserve">septembre </w:t>
      </w:r>
      <w:r>
        <w:tab/>
        <w:t xml:space="preserve">2025   </w:t>
      </w:r>
    </w:p>
    <w:p w14:paraId="1011485F" w14:textId="77777777" w:rsidR="00CD748F" w:rsidRDefault="00426F7E">
      <w:pPr>
        <w:spacing w:after="74"/>
        <w:ind w:left="-5" w:right="0"/>
      </w:pPr>
      <w:r>
        <w:t xml:space="preserve">https://www.reuters.com/world/morocco-squashes-youth-led-protesters-over-healtheducation-2025-09-30/ </w:t>
      </w:r>
    </w:p>
    <w:p w14:paraId="02121778" w14:textId="77777777" w:rsidR="00CD748F" w:rsidRDefault="00426F7E">
      <w:pPr>
        <w:tabs>
          <w:tab w:val="center" w:pos="1338"/>
          <w:tab w:val="center" w:pos="2093"/>
          <w:tab w:val="center" w:pos="2448"/>
          <w:tab w:val="center" w:pos="3297"/>
          <w:tab w:val="center" w:pos="4481"/>
          <w:tab w:val="center" w:pos="5362"/>
          <w:tab w:val="center" w:pos="6403"/>
          <w:tab w:val="center" w:pos="7593"/>
          <w:tab w:val="center" w:pos="8690"/>
          <w:tab w:val="right" w:pos="9977"/>
        </w:tabs>
        <w:spacing w:after="13"/>
        <w:ind w:left="-15" w:right="0" w:firstLine="0"/>
        <w:jc w:val="left"/>
      </w:pPr>
      <w:r>
        <w:rPr>
          <w:rFonts w:cs="Cambria"/>
          <w:b/>
        </w:rPr>
        <w:t xml:space="preserve">[S32] </w:t>
      </w:r>
      <w:r>
        <w:rPr>
          <w:rFonts w:cs="Cambria"/>
          <w:b/>
        </w:rPr>
        <w:tab/>
      </w:r>
      <w:r>
        <w:t xml:space="preserve">Reuters </w:t>
      </w:r>
      <w:r>
        <w:tab/>
        <w:t xml:space="preserve"> </w:t>
      </w:r>
      <w:r>
        <w:tab/>
        <w:t xml:space="preserve"> </w:t>
      </w:r>
      <w:r>
        <w:tab/>
        <w:t xml:space="preserve">youth-led </w:t>
      </w:r>
      <w:r>
        <w:tab/>
        <w:t xml:space="preserve">unrest </w:t>
      </w:r>
      <w:r>
        <w:tab/>
        <w:t xml:space="preserve">and </w:t>
      </w:r>
      <w:r>
        <w:tab/>
        <w:t xml:space="preserve">economic </w:t>
      </w:r>
      <w:r>
        <w:tab/>
        <w:t xml:space="preserve">model, </w:t>
      </w:r>
      <w:r>
        <w:tab/>
        <w:t xml:space="preserve">octobre </w:t>
      </w:r>
      <w:r>
        <w:tab/>
        <w:t xml:space="preserve">2025   </w:t>
      </w:r>
    </w:p>
    <w:p w14:paraId="0B1AF77E" w14:textId="77777777" w:rsidR="00CD748F" w:rsidRDefault="00426F7E">
      <w:pPr>
        <w:spacing w:after="0"/>
        <w:ind w:left="-5" w:right="0"/>
      </w:pPr>
      <w:r>
        <w:t xml:space="preserve">https://www.reuters.com/world/africa/youth-led-unrest-exposes-cracks-moroccos-economicmodel-2025-10-06/ </w:t>
      </w:r>
    </w:p>
    <w:tbl>
      <w:tblPr>
        <w:tblStyle w:val="TableGrid"/>
        <w:tblW w:w="10127" w:type="dxa"/>
        <w:tblInd w:w="0" w:type="dxa"/>
        <w:tblCellMar>
          <w:top w:w="0" w:type="dxa"/>
          <w:left w:w="0" w:type="dxa"/>
          <w:bottom w:w="0" w:type="dxa"/>
          <w:right w:w="0" w:type="dxa"/>
        </w:tblCellMar>
        <w:tblLook w:val="04A0" w:firstRow="1" w:lastRow="0" w:firstColumn="1" w:lastColumn="0" w:noHBand="0" w:noVBand="1"/>
      </w:tblPr>
      <w:tblGrid>
        <w:gridCol w:w="7425"/>
        <w:gridCol w:w="1912"/>
        <w:gridCol w:w="790"/>
      </w:tblGrid>
      <w:tr w:rsidR="00CD748F" w14:paraId="23ECE7FD" w14:textId="77777777">
        <w:trPr>
          <w:trHeight w:val="634"/>
        </w:trPr>
        <w:tc>
          <w:tcPr>
            <w:tcW w:w="7424" w:type="dxa"/>
            <w:tcBorders>
              <w:top w:val="nil"/>
              <w:left w:val="nil"/>
              <w:bottom w:val="nil"/>
              <w:right w:val="nil"/>
            </w:tcBorders>
          </w:tcPr>
          <w:p w14:paraId="2495464A" w14:textId="77777777" w:rsidR="00CD748F" w:rsidRDefault="00426F7E">
            <w:pPr>
              <w:spacing w:after="0" w:line="259" w:lineRule="auto"/>
              <w:ind w:left="0" w:right="0" w:firstLine="0"/>
              <w:jc w:val="left"/>
            </w:pPr>
            <w:r>
              <w:rPr>
                <w:b/>
              </w:rPr>
              <w:t xml:space="preserve">[S33] </w:t>
            </w:r>
            <w:r>
              <w:rPr>
                <w:b/>
              </w:rPr>
              <w:tab/>
            </w:r>
            <w:r>
              <w:t xml:space="preserve">Assemblée </w:t>
            </w:r>
            <w:r>
              <w:tab/>
              <w:t xml:space="preserve">des </w:t>
            </w:r>
            <w:r>
              <w:tab/>
              <w:t xml:space="preserve">représentants </w:t>
            </w:r>
            <w:r>
              <w:tab/>
              <w:t xml:space="preserve"> </w:t>
            </w:r>
            <w:r>
              <w:tab/>
              <w:t xml:space="preserve"> </w:t>
            </w:r>
            <w:r>
              <w:tab/>
              <w:t xml:space="preserve">fiche </w:t>
            </w:r>
            <w:r>
              <w:tab/>
              <w:t xml:space="preserve">parlementaire https://www.chambredesrepresentants.ma/fr/m/900/ </w:t>
            </w:r>
          </w:p>
        </w:tc>
        <w:tc>
          <w:tcPr>
            <w:tcW w:w="2702" w:type="dxa"/>
            <w:gridSpan w:val="2"/>
            <w:tcBorders>
              <w:top w:val="nil"/>
              <w:left w:val="nil"/>
              <w:bottom w:val="nil"/>
              <w:right w:val="nil"/>
            </w:tcBorders>
          </w:tcPr>
          <w:p w14:paraId="0DB6411F" w14:textId="77777777" w:rsidR="00CD748F" w:rsidRDefault="00426F7E">
            <w:pPr>
              <w:tabs>
                <w:tab w:val="right" w:pos="2702"/>
              </w:tabs>
              <w:spacing w:after="0" w:line="259" w:lineRule="auto"/>
              <w:ind w:left="0" w:right="0" w:firstLine="0"/>
              <w:jc w:val="left"/>
            </w:pPr>
            <w:r>
              <w:t xml:space="preserve">Mohamedi </w:t>
            </w:r>
            <w:r>
              <w:tab/>
              <w:t xml:space="preserve">Touhtouh   </w:t>
            </w:r>
          </w:p>
        </w:tc>
      </w:tr>
      <w:tr w:rsidR="00CD748F" w14:paraId="597F08CC" w14:textId="77777777">
        <w:trPr>
          <w:trHeight w:val="708"/>
        </w:trPr>
        <w:tc>
          <w:tcPr>
            <w:tcW w:w="7424" w:type="dxa"/>
            <w:tcBorders>
              <w:top w:val="nil"/>
              <w:left w:val="nil"/>
              <w:bottom w:val="nil"/>
              <w:right w:val="nil"/>
            </w:tcBorders>
          </w:tcPr>
          <w:p w14:paraId="528CAD10" w14:textId="77777777" w:rsidR="00CD748F" w:rsidRDefault="00426F7E">
            <w:pPr>
              <w:spacing w:after="0" w:line="259" w:lineRule="auto"/>
              <w:ind w:left="0" w:right="0" w:firstLine="0"/>
              <w:jc w:val="left"/>
            </w:pPr>
            <w:r>
              <w:rPr>
                <w:b/>
              </w:rPr>
              <w:t xml:space="preserve">[S35] </w:t>
            </w:r>
            <w:r>
              <w:rPr>
                <w:b/>
              </w:rPr>
              <w:tab/>
            </w:r>
            <w:r>
              <w:t xml:space="preserve">Assemblée </w:t>
            </w:r>
            <w:r>
              <w:tab/>
              <w:t xml:space="preserve">des </w:t>
            </w:r>
            <w:r>
              <w:tab/>
              <w:t xml:space="preserve">représentants </w:t>
            </w:r>
            <w:r>
              <w:tab/>
              <w:t xml:space="preserve"> </w:t>
            </w:r>
            <w:r>
              <w:tab/>
              <w:t xml:space="preserve"> </w:t>
            </w:r>
            <w:r>
              <w:tab/>
              <w:t xml:space="preserve">question </w:t>
            </w:r>
            <w:r>
              <w:tab/>
              <w:t xml:space="preserve">n°21245 </w:t>
            </w:r>
            <w:r>
              <w:tab/>
              <w:t xml:space="preserve">sur </w:t>
            </w:r>
            <w:r>
              <w:t xml:space="preserve">https://www.chambredesrepresentants.ma/fr/node/425929 </w:t>
            </w:r>
          </w:p>
        </w:tc>
        <w:tc>
          <w:tcPr>
            <w:tcW w:w="1912" w:type="dxa"/>
            <w:tcBorders>
              <w:top w:val="nil"/>
              <w:left w:val="nil"/>
              <w:bottom w:val="nil"/>
              <w:right w:val="nil"/>
            </w:tcBorders>
          </w:tcPr>
          <w:p w14:paraId="79D82054" w14:textId="77777777" w:rsidR="00CD748F" w:rsidRDefault="00426F7E">
            <w:pPr>
              <w:tabs>
                <w:tab w:val="center" w:pos="1428"/>
              </w:tabs>
              <w:spacing w:after="0" w:line="259" w:lineRule="auto"/>
              <w:ind w:left="0" w:right="0" w:firstLine="0"/>
              <w:jc w:val="left"/>
            </w:pPr>
            <w:r>
              <w:t xml:space="preserve">l’ancien </w:t>
            </w:r>
            <w:r>
              <w:tab/>
              <w:t xml:space="preserve">lycée </w:t>
            </w:r>
          </w:p>
        </w:tc>
        <w:tc>
          <w:tcPr>
            <w:tcW w:w="790" w:type="dxa"/>
            <w:tcBorders>
              <w:top w:val="nil"/>
              <w:left w:val="nil"/>
              <w:bottom w:val="nil"/>
              <w:right w:val="nil"/>
            </w:tcBorders>
          </w:tcPr>
          <w:p w14:paraId="735D331E" w14:textId="77777777" w:rsidR="00CD748F" w:rsidRDefault="00426F7E">
            <w:pPr>
              <w:spacing w:after="0" w:line="259" w:lineRule="auto"/>
              <w:ind w:left="0" w:right="0" w:firstLine="0"/>
            </w:pPr>
            <w:r>
              <w:t xml:space="preserve">Océan   </w:t>
            </w:r>
          </w:p>
        </w:tc>
      </w:tr>
      <w:tr w:rsidR="00CD748F" w14:paraId="7520D305" w14:textId="77777777">
        <w:trPr>
          <w:trHeight w:val="709"/>
        </w:trPr>
        <w:tc>
          <w:tcPr>
            <w:tcW w:w="7424" w:type="dxa"/>
            <w:tcBorders>
              <w:top w:val="nil"/>
              <w:left w:val="nil"/>
              <w:bottom w:val="nil"/>
              <w:right w:val="nil"/>
            </w:tcBorders>
          </w:tcPr>
          <w:p w14:paraId="79816088" w14:textId="77777777" w:rsidR="00CD748F" w:rsidRDefault="00426F7E">
            <w:pPr>
              <w:tabs>
                <w:tab w:val="center" w:pos="1283"/>
                <w:tab w:val="center" w:pos="1982"/>
                <w:tab w:val="center" w:pos="2210"/>
                <w:tab w:val="center" w:pos="2854"/>
                <w:tab w:val="center" w:pos="3631"/>
                <w:tab w:val="center" w:pos="4426"/>
                <w:tab w:val="center" w:pos="5253"/>
                <w:tab w:val="center" w:pos="6044"/>
                <w:tab w:val="center" w:pos="6931"/>
              </w:tabs>
              <w:spacing w:after="30" w:line="259" w:lineRule="auto"/>
              <w:ind w:left="0" w:right="0" w:firstLine="0"/>
              <w:jc w:val="left"/>
            </w:pPr>
            <w:r>
              <w:rPr>
                <w:b/>
              </w:rPr>
              <w:t xml:space="preserve">[S36] </w:t>
            </w:r>
            <w:r>
              <w:rPr>
                <w:b/>
              </w:rPr>
              <w:tab/>
            </w:r>
            <w:r>
              <w:t xml:space="preserve">Hespress </w:t>
            </w:r>
            <w:r>
              <w:tab/>
              <w:t xml:space="preserve"> </w:t>
            </w:r>
            <w:r>
              <w:tab/>
              <w:t xml:space="preserve"> </w:t>
            </w:r>
            <w:r>
              <w:tab/>
              <w:t xml:space="preserve">réponse </w:t>
            </w:r>
            <w:r>
              <w:tab/>
              <w:t xml:space="preserve">du </w:t>
            </w:r>
            <w:r>
              <w:tab/>
              <w:t xml:space="preserve">ministre </w:t>
            </w:r>
            <w:r>
              <w:tab/>
              <w:t xml:space="preserve">sur </w:t>
            </w:r>
            <w:r>
              <w:tab/>
              <w:t xml:space="preserve">l’ancien </w:t>
            </w:r>
            <w:r>
              <w:tab/>
              <w:t xml:space="preserve">lycée </w:t>
            </w:r>
          </w:p>
          <w:p w14:paraId="73614D38" w14:textId="77777777" w:rsidR="00CD748F" w:rsidRDefault="00426F7E">
            <w:pPr>
              <w:spacing w:after="0" w:line="259" w:lineRule="auto"/>
              <w:ind w:left="0" w:right="0" w:firstLine="0"/>
            </w:pPr>
            <w:r>
              <w:t>https://www.hespress.com/</w:t>
            </w:r>
            <w:r>
              <w:rPr>
                <w:rFonts w:ascii="Times New Roman" w:eastAsia="Times New Roman" w:hAnsi="Times New Roman" w:cs="Times New Roman"/>
                <w:rtl/>
              </w:rPr>
              <w:t>العاصمة</w:t>
            </w:r>
            <w:r>
              <w:rPr>
                <w:rtl/>
              </w:rPr>
              <w:t>-</w:t>
            </w:r>
            <w:r>
              <w:rPr>
                <w:rFonts w:ascii="Times New Roman" w:eastAsia="Times New Roman" w:hAnsi="Times New Roman" w:cs="Times New Roman"/>
                <w:rtl/>
              </w:rPr>
              <w:t>في</w:t>
            </w:r>
            <w:r>
              <w:rPr>
                <w:rtl/>
              </w:rPr>
              <w:t>-</w:t>
            </w:r>
            <w:r>
              <w:rPr>
                <w:rFonts w:ascii="Times New Roman" w:eastAsia="Times New Roman" w:hAnsi="Times New Roman" w:cs="Times New Roman"/>
                <w:rtl/>
              </w:rPr>
              <w:t>ثانوية</w:t>
            </w:r>
            <w:r>
              <w:rPr>
                <w:rtl/>
              </w:rPr>
              <w:t>-</w:t>
            </w:r>
            <w:r>
              <w:rPr>
                <w:rFonts w:ascii="Times New Roman" w:eastAsia="Times New Roman" w:hAnsi="Times New Roman" w:cs="Times New Roman"/>
                <w:rtl/>
              </w:rPr>
              <w:t>هدم</w:t>
            </w:r>
            <w:r>
              <w:rPr>
                <w:rtl/>
              </w:rPr>
              <w:t>-</w:t>
            </w:r>
            <w:r>
              <w:rPr>
                <w:rFonts w:ascii="Times New Roman" w:eastAsia="Times New Roman" w:hAnsi="Times New Roman" w:cs="Times New Roman"/>
                <w:rtl/>
              </w:rPr>
              <w:t>يوضح</w:t>
            </w:r>
            <w:r>
              <w:rPr>
                <w:rtl/>
              </w:rPr>
              <w:t>-</w:t>
            </w:r>
            <w:r>
              <w:rPr>
                <w:rFonts w:ascii="Times New Roman" w:eastAsia="Times New Roman" w:hAnsi="Times New Roman" w:cs="Times New Roman"/>
                <w:rtl/>
              </w:rPr>
              <w:t>برادة</w:t>
            </w:r>
            <w:r>
              <w:t xml:space="preserve">-1567931.html </w:t>
            </w:r>
          </w:p>
        </w:tc>
        <w:tc>
          <w:tcPr>
            <w:tcW w:w="1912" w:type="dxa"/>
            <w:tcBorders>
              <w:top w:val="nil"/>
              <w:left w:val="nil"/>
              <w:bottom w:val="nil"/>
              <w:right w:val="nil"/>
            </w:tcBorders>
          </w:tcPr>
          <w:p w14:paraId="76DC5B4C" w14:textId="77777777" w:rsidR="00CD748F" w:rsidRDefault="00426F7E">
            <w:pPr>
              <w:tabs>
                <w:tab w:val="center" w:pos="1041"/>
                <w:tab w:val="right" w:pos="1912"/>
              </w:tabs>
              <w:spacing w:after="0" w:line="259" w:lineRule="auto"/>
              <w:ind w:left="0" w:right="0" w:firstLine="0"/>
              <w:jc w:val="left"/>
            </w:pPr>
            <w:r>
              <w:t xml:space="preserve">Océan, </w:t>
            </w:r>
            <w:r>
              <w:tab/>
              <w:t xml:space="preserve">30 </w:t>
            </w:r>
            <w:r>
              <w:tab/>
              <w:t xml:space="preserve">mai </w:t>
            </w:r>
          </w:p>
        </w:tc>
        <w:tc>
          <w:tcPr>
            <w:tcW w:w="790" w:type="dxa"/>
            <w:tcBorders>
              <w:top w:val="nil"/>
              <w:left w:val="nil"/>
              <w:bottom w:val="nil"/>
              <w:right w:val="nil"/>
            </w:tcBorders>
          </w:tcPr>
          <w:p w14:paraId="7EA7597C" w14:textId="77777777" w:rsidR="00CD748F" w:rsidRDefault="00426F7E">
            <w:pPr>
              <w:spacing w:after="0" w:line="259" w:lineRule="auto"/>
              <w:ind w:left="101" w:right="0" w:firstLine="0"/>
              <w:jc w:val="left"/>
            </w:pPr>
            <w:r>
              <w:t xml:space="preserve">2025   </w:t>
            </w:r>
          </w:p>
        </w:tc>
      </w:tr>
      <w:tr w:rsidR="00CD748F" w14:paraId="51413AA7" w14:textId="77777777">
        <w:trPr>
          <w:trHeight w:val="312"/>
        </w:trPr>
        <w:tc>
          <w:tcPr>
            <w:tcW w:w="7424" w:type="dxa"/>
            <w:tcBorders>
              <w:top w:val="nil"/>
              <w:left w:val="nil"/>
              <w:bottom w:val="nil"/>
              <w:right w:val="nil"/>
            </w:tcBorders>
          </w:tcPr>
          <w:p w14:paraId="074C5317" w14:textId="77777777" w:rsidR="00CD748F" w:rsidRDefault="00426F7E">
            <w:pPr>
              <w:tabs>
                <w:tab w:val="center" w:pos="1491"/>
                <w:tab w:val="center" w:pos="2395"/>
                <w:tab w:val="center" w:pos="2795"/>
                <w:tab w:val="center" w:pos="3328"/>
                <w:tab w:val="center" w:pos="4025"/>
                <w:tab w:val="center" w:pos="4752"/>
                <w:tab w:val="center" w:pos="5802"/>
                <w:tab w:val="right" w:pos="7424"/>
              </w:tabs>
              <w:spacing w:after="0" w:line="259" w:lineRule="auto"/>
              <w:ind w:left="0" w:right="0" w:firstLine="0"/>
              <w:jc w:val="left"/>
            </w:pPr>
            <w:r>
              <w:rPr>
                <w:b/>
              </w:rPr>
              <w:t xml:space="preserve">[S40] </w:t>
            </w:r>
            <w:r>
              <w:rPr>
                <w:b/>
              </w:rPr>
              <w:tab/>
            </w:r>
            <w:r>
              <w:t xml:space="preserve">Maroc.ma </w:t>
            </w:r>
            <w:r>
              <w:tab/>
              <w:t xml:space="preserve"> </w:t>
            </w:r>
            <w:r>
              <w:tab/>
              <w:t xml:space="preserve"> </w:t>
            </w:r>
            <w:r>
              <w:tab/>
              <w:t xml:space="preserve">78 </w:t>
            </w:r>
            <w:r>
              <w:tab/>
              <w:t xml:space="preserve">Md </w:t>
            </w:r>
            <w:r>
              <w:tab/>
              <w:t xml:space="preserve">DH </w:t>
            </w:r>
            <w:r>
              <w:tab/>
              <w:t xml:space="preserve">transport </w:t>
            </w:r>
            <w:r>
              <w:tab/>
              <w:t xml:space="preserve">public </w:t>
            </w:r>
          </w:p>
        </w:tc>
        <w:tc>
          <w:tcPr>
            <w:tcW w:w="1912" w:type="dxa"/>
            <w:tcBorders>
              <w:top w:val="nil"/>
              <w:left w:val="nil"/>
              <w:bottom w:val="nil"/>
              <w:right w:val="nil"/>
            </w:tcBorders>
          </w:tcPr>
          <w:p w14:paraId="161C5EF7" w14:textId="77777777" w:rsidR="00CD748F" w:rsidRDefault="00426F7E">
            <w:pPr>
              <w:tabs>
                <w:tab w:val="center" w:pos="359"/>
                <w:tab w:val="center" w:pos="1216"/>
              </w:tabs>
              <w:spacing w:after="0" w:line="259" w:lineRule="auto"/>
              <w:ind w:left="0" w:right="0" w:firstLine="0"/>
              <w:jc w:val="left"/>
            </w:pPr>
            <w:r>
              <w:rPr>
                <w:rFonts w:ascii="Calibri" w:eastAsia="Calibri" w:hAnsi="Calibri" w:cs="Calibri"/>
                <w:sz w:val="22"/>
              </w:rPr>
              <w:tab/>
            </w:r>
            <w:r>
              <w:t xml:space="preserve">à </w:t>
            </w:r>
            <w:r>
              <w:tab/>
              <w:t xml:space="preserve">horizon </w:t>
            </w:r>
          </w:p>
        </w:tc>
        <w:tc>
          <w:tcPr>
            <w:tcW w:w="790" w:type="dxa"/>
            <w:tcBorders>
              <w:top w:val="nil"/>
              <w:left w:val="nil"/>
              <w:bottom w:val="nil"/>
              <w:right w:val="nil"/>
            </w:tcBorders>
          </w:tcPr>
          <w:p w14:paraId="5973F9C1" w14:textId="77777777" w:rsidR="00CD748F" w:rsidRDefault="00426F7E">
            <w:pPr>
              <w:spacing w:after="0" w:line="259" w:lineRule="auto"/>
              <w:ind w:left="102" w:right="0" w:firstLine="0"/>
              <w:jc w:val="left"/>
            </w:pPr>
            <w:r>
              <w:t xml:space="preserve">2029   </w:t>
            </w:r>
          </w:p>
        </w:tc>
      </w:tr>
    </w:tbl>
    <w:p w14:paraId="4E73F4D4" w14:textId="77777777" w:rsidR="00CD748F" w:rsidRDefault="00426F7E">
      <w:pPr>
        <w:spacing w:after="74"/>
        <w:ind w:left="-5" w:right="0"/>
      </w:pPr>
      <w:r>
        <w:t>https://www.maroc.ma/fr/actualites/plus-de-78-mmdh-mobilises-au-maroc-pour-developperun-systeme-de-transport-public-propre-</w:t>
      </w:r>
      <w:r>
        <w:t xml:space="preserve">moderne-et </w:t>
      </w:r>
    </w:p>
    <w:p w14:paraId="518452E3" w14:textId="77777777" w:rsidR="00CD748F" w:rsidRDefault="00426F7E">
      <w:pPr>
        <w:tabs>
          <w:tab w:val="center" w:pos="1419"/>
          <w:tab w:val="center" w:pos="2256"/>
          <w:tab w:val="center" w:pos="2584"/>
          <w:tab w:val="center" w:pos="3404"/>
          <w:tab w:val="center" w:pos="5366"/>
          <w:tab w:val="center" w:pos="7450"/>
          <w:tab w:val="center" w:pos="8528"/>
          <w:tab w:val="center" w:pos="9155"/>
          <w:tab w:val="right" w:pos="9977"/>
        </w:tabs>
        <w:spacing w:after="13"/>
        <w:ind w:left="-15" w:right="0" w:firstLine="0"/>
        <w:jc w:val="left"/>
      </w:pPr>
      <w:r>
        <w:rPr>
          <w:rFonts w:cs="Cambria"/>
          <w:b/>
        </w:rPr>
        <w:t xml:space="preserve">[S41] </w:t>
      </w:r>
      <w:r>
        <w:rPr>
          <w:rFonts w:cs="Cambria"/>
          <w:b/>
        </w:rPr>
        <w:tab/>
      </w:r>
      <w:r>
        <w:t xml:space="preserve">Maroc.ma </w:t>
      </w:r>
      <w:r>
        <w:tab/>
        <w:t xml:space="preserve"> </w:t>
      </w:r>
      <w:r>
        <w:tab/>
        <w:t xml:space="preserve"> </w:t>
      </w:r>
      <w:r>
        <w:tab/>
        <w:t xml:space="preserve">protocole </w:t>
      </w:r>
      <w:r>
        <w:tab/>
        <w:t>Gouvernement</w:t>
      </w:r>
      <w:r>
        <w:rPr>
          <w:rFonts w:cs="Cambria"/>
        </w:rPr>
        <w:t>–</w:t>
      </w:r>
      <w:r>
        <w:t xml:space="preserve">ONDA </w:t>
      </w:r>
      <w:r>
        <w:tab/>
        <w:t>2025</w:t>
      </w:r>
      <w:r>
        <w:rPr>
          <w:rFonts w:cs="Cambria"/>
        </w:rPr>
        <w:t>–</w:t>
      </w:r>
      <w:r>
        <w:t xml:space="preserve">2030, </w:t>
      </w:r>
      <w:r>
        <w:tab/>
        <w:t xml:space="preserve">38 </w:t>
      </w:r>
      <w:r>
        <w:tab/>
        <w:t xml:space="preserve">Md </w:t>
      </w:r>
      <w:r>
        <w:tab/>
        <w:t xml:space="preserve">DH   </w:t>
      </w:r>
    </w:p>
    <w:p w14:paraId="5C6CC18E" w14:textId="77777777" w:rsidR="00CD748F" w:rsidRDefault="00426F7E">
      <w:pPr>
        <w:spacing w:after="72"/>
        <w:ind w:left="-5" w:right="0"/>
      </w:pPr>
      <w:r>
        <w:t xml:space="preserve">https://maroc.ma/fr/actualites/signature-dun-protocole-daccord-entre-le-gouvernement-etlonda-pour-la-periode-2025-2030-dun-montant </w:t>
      </w:r>
    </w:p>
    <w:p w14:paraId="534A3E6D" w14:textId="77777777" w:rsidR="00CD748F" w:rsidRDefault="00426F7E">
      <w:pPr>
        <w:spacing w:after="66" w:line="276" w:lineRule="auto"/>
        <w:ind w:left="-5" w:right="-9"/>
        <w:jc w:val="left"/>
      </w:pPr>
      <w:r>
        <w:rPr>
          <w:rFonts w:cs="Cambria"/>
          <w:b/>
        </w:rPr>
        <w:t xml:space="preserve">[S42] </w:t>
      </w:r>
      <w:r>
        <w:rPr>
          <w:rFonts w:cs="Cambria"/>
          <w:b/>
        </w:rPr>
        <w:tab/>
      </w:r>
      <w:r>
        <w:t xml:space="preserve">Maroc.ma </w:t>
      </w:r>
      <w:r>
        <w:tab/>
        <w:t xml:space="preserve"> </w:t>
      </w:r>
      <w:r>
        <w:tab/>
        <w:t xml:space="preserve"> </w:t>
      </w:r>
      <w:r>
        <w:tab/>
        <w:t xml:space="preserve">initiative </w:t>
      </w:r>
      <w:r>
        <w:tab/>
        <w:t xml:space="preserve">Afrique </w:t>
      </w:r>
      <w:r>
        <w:tab/>
        <w:t xml:space="preserve">Atlantique </w:t>
      </w:r>
      <w:r>
        <w:tab/>
        <w:t xml:space="preserve">et </w:t>
      </w:r>
      <w:r>
        <w:tab/>
        <w:t xml:space="preserve">projets </w:t>
      </w:r>
      <w:r>
        <w:tab/>
        <w:t xml:space="preserve">énergétiques   https://www.maroc.ma/fr/discours-messages-royaux/message-royaux/texte-integral-dumessage-royal-adresse-aux-participants-la-4eme-edition-du-forum-pour </w:t>
      </w:r>
    </w:p>
    <w:p w14:paraId="6249AD45" w14:textId="77777777" w:rsidR="00CD748F" w:rsidRDefault="00426F7E">
      <w:pPr>
        <w:spacing w:after="66" w:line="276" w:lineRule="auto"/>
        <w:ind w:left="-5" w:right="-9"/>
        <w:jc w:val="left"/>
      </w:pPr>
      <w:r>
        <w:rPr>
          <w:rFonts w:cs="Cambria"/>
          <w:b/>
        </w:rPr>
        <w:t xml:space="preserve">[S43] </w:t>
      </w:r>
      <w:r>
        <w:t>Maroc.ma   projet gazoduc Maroc</w:t>
      </w:r>
      <w:r>
        <w:rPr>
          <w:rFonts w:cs="Cambria"/>
        </w:rPr>
        <w:t>–</w:t>
      </w:r>
      <w:r>
        <w:t xml:space="preserve">Nigeria   https://www.maroc.ma/fr/discours-messagesroyaux/discours-royaux/sm-le-roi-adresse-un-discours-a-la-nation-a-loccasion-du-48emeanniversaire-de-la-marche-verte-texte </w:t>
      </w:r>
    </w:p>
    <w:p w14:paraId="3F890975" w14:textId="77777777" w:rsidR="00CD748F" w:rsidRDefault="00426F7E">
      <w:pPr>
        <w:tabs>
          <w:tab w:val="center" w:pos="1911"/>
          <w:tab w:val="center" w:pos="3519"/>
          <w:tab w:val="center" w:pos="4574"/>
          <w:tab w:val="center" w:pos="5349"/>
          <w:tab w:val="center" w:pos="6611"/>
          <w:tab w:val="center" w:pos="8270"/>
          <w:tab w:val="right" w:pos="9977"/>
        </w:tabs>
        <w:spacing w:after="13"/>
        <w:ind w:left="-15" w:right="0" w:firstLine="0"/>
        <w:jc w:val="left"/>
      </w:pPr>
      <w:r>
        <w:rPr>
          <w:rFonts w:cs="Cambria"/>
          <w:b/>
        </w:rPr>
        <w:t xml:space="preserve">[S44] </w:t>
      </w:r>
      <w:r>
        <w:rPr>
          <w:rFonts w:cs="Cambria"/>
          <w:b/>
        </w:rPr>
        <w:tab/>
      </w:r>
      <w:r>
        <w:t xml:space="preserve">Associated </w:t>
      </w:r>
      <w:r>
        <w:tab/>
        <w:t xml:space="preserve">Press </w:t>
      </w:r>
      <w:r>
        <w:tab/>
        <w:t xml:space="preserve"> </w:t>
      </w:r>
      <w:r>
        <w:tab/>
        <w:t xml:space="preserve"> </w:t>
      </w:r>
      <w:r>
        <w:tab/>
        <w:t xml:space="preserve">GenZ212, </w:t>
      </w:r>
      <w:r>
        <w:tab/>
        <w:t xml:space="preserve">octobre </w:t>
      </w:r>
      <w:r>
        <w:tab/>
        <w:t xml:space="preserve">2025   </w:t>
      </w:r>
    </w:p>
    <w:p w14:paraId="073C9BBC" w14:textId="77777777" w:rsidR="00CD748F" w:rsidRDefault="00426F7E">
      <w:pPr>
        <w:spacing w:after="68"/>
        <w:ind w:left="-5" w:right="0"/>
      </w:pPr>
      <w:r>
        <w:t xml:space="preserve">https://apnews.com/article/b1191d0d07a454e88b7da8b025efc81a </w:t>
      </w:r>
    </w:p>
    <w:p w14:paraId="3B2F20B0" w14:textId="77777777" w:rsidR="00CD748F" w:rsidRDefault="00426F7E">
      <w:pPr>
        <w:spacing w:after="371" w:line="259" w:lineRule="auto"/>
        <w:ind w:left="0" w:right="0" w:firstLine="0"/>
        <w:jc w:val="left"/>
      </w:pPr>
      <w:r>
        <w:t xml:space="preserve"> </w:t>
      </w:r>
    </w:p>
    <w:p w14:paraId="1A05CBEB" w14:textId="77777777" w:rsidR="00CD748F" w:rsidRDefault="00426F7E">
      <w:pPr>
        <w:spacing w:after="228" w:line="259" w:lineRule="auto"/>
        <w:ind w:left="0" w:right="0" w:firstLine="0"/>
        <w:jc w:val="left"/>
      </w:pPr>
      <w:r>
        <w:rPr>
          <w:rFonts w:cs="Cambria"/>
          <w:b/>
          <w:color w:val="163A5F"/>
          <w:sz w:val="40"/>
        </w:rPr>
        <w:t xml:space="preserve"> </w:t>
      </w:r>
    </w:p>
    <w:p w14:paraId="6B6CB0E3" w14:textId="77777777" w:rsidR="00CD748F" w:rsidRDefault="00426F7E">
      <w:pPr>
        <w:pStyle w:val="Titre2"/>
        <w:ind w:left="3037" w:hanging="2749"/>
      </w:pPr>
      <w:r>
        <w:t xml:space="preserve">ANNEXE   LIMITES ET CONDITIONS POUR UN AUDIT JURIDIQUE COMPLET </w:t>
      </w:r>
    </w:p>
    <w:p w14:paraId="43CAEF59" w14:textId="77777777" w:rsidR="00CD748F" w:rsidRDefault="00426F7E">
      <w:pPr>
        <w:ind w:left="-5" w:right="0"/>
      </w:pPr>
      <w:r>
        <w:rPr>
          <w:rFonts w:cs="Cambria"/>
        </w:rPr>
        <w:t xml:space="preserve">Le présent rapport ne peut pas constater une fraude, un détournement ou un conflit d’intérêts au </w:t>
      </w:r>
      <w:r>
        <w:t xml:space="preserve">seul moyen de sources publiques. Un audit juridiquement probant nécessiterait accès aux pièces comptables, conventions, ordres de paiement, déclarations douanières, bénéficiaires effectifs, registres de contrôle, procès-verbaux de réception, données individuelles pseudonymisées et auditions contradictoires. Pour les personnes citées dans les controverses, toute conclusion doit </w:t>
      </w:r>
      <w:r>
        <w:rPr>
          <w:rFonts w:cs="Cambria"/>
        </w:rPr>
        <w:t xml:space="preserve">respecter la présomption d’innocence et être fondée sur les actes plutôt que sur l’appartenance </w:t>
      </w:r>
      <w:r>
        <w:t xml:space="preserve">politique ou la réputation. </w:t>
      </w:r>
    </w:p>
    <w:p w14:paraId="5B4CFEF9" w14:textId="77777777" w:rsidR="00CD748F" w:rsidRDefault="00426F7E">
      <w:pPr>
        <w:ind w:left="-5" w:right="0"/>
      </w:pPr>
      <w:r>
        <w:t>La force du présent rapport se situe ailleurs : il identifie les écarts qui sont déjà établis, les chiffres qui ne sont pas comparables, les dépenses qui ne sont pas suffisamment raccordées aux résultats et les dossiers où quelques pièces supplémentaires p</w:t>
      </w:r>
      <w:r>
        <w:rPr>
          <w:rFonts w:cs="Cambria"/>
        </w:rPr>
        <w:t xml:space="preserve">ermettraient de passer d’une controverse à un constat. C’est la condition nécessaire pour qu’un contrôle parlementaire soit à la fois incisif et </w:t>
      </w:r>
      <w:r>
        <w:t xml:space="preserve">juridiquement défendable. </w:t>
      </w:r>
    </w:p>
    <w:sectPr w:rsidR="00CD748F">
      <w:footerReference w:type="even" r:id="rId7"/>
      <w:footerReference w:type="default" r:id="rId8"/>
      <w:footerReference w:type="first" r:id="rId9"/>
      <w:pgSz w:w="12240" w:h="15840"/>
      <w:pgMar w:top="1057" w:right="1130" w:bottom="1051" w:left="1133" w:header="720" w:footer="7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3904C" w14:textId="77777777" w:rsidR="00426F7E" w:rsidRDefault="00426F7E">
      <w:pPr>
        <w:spacing w:after="0" w:line="240" w:lineRule="auto"/>
      </w:pPr>
      <w:r>
        <w:separator/>
      </w:r>
    </w:p>
  </w:endnote>
  <w:endnote w:type="continuationSeparator" w:id="0">
    <w:p w14:paraId="0EB32A85" w14:textId="77777777" w:rsidR="00426F7E" w:rsidRDefault="00426F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roman"/>
    <w:pitch w:val="default"/>
  </w:font>
  <w:font w:name="Aptos">
    <w:panose1 w:val="020B00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D82A4" w14:textId="77777777" w:rsidR="00CD748F" w:rsidRDefault="00426F7E">
    <w:pPr>
      <w:spacing w:after="0" w:line="259" w:lineRule="auto"/>
      <w:ind w:left="0" w:right="3" w:firstLine="0"/>
      <w:jc w:val="center"/>
    </w:pPr>
    <w:r>
      <w:rPr>
        <w:rFonts w:ascii="Calibri" w:eastAsia="Calibri" w:hAnsi="Calibri" w:cs="Calibri"/>
        <w:sz w:val="16"/>
      </w:rPr>
      <w:t xml:space="preserve">Audit documentaire — Gouvernement Akhannouch 2021–2026 </w:t>
    </w:r>
    <w:r>
      <w:rPr>
        <w:rFonts w:ascii="Calibri" w:eastAsia="Calibri" w:hAnsi="Calibri" w:cs="Calibri"/>
        <w:sz w:val="21"/>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8D056" w14:textId="77777777" w:rsidR="00CD748F" w:rsidRDefault="00426F7E">
    <w:pPr>
      <w:spacing w:after="0" w:line="259" w:lineRule="auto"/>
      <w:ind w:left="0" w:right="3" w:firstLine="0"/>
      <w:jc w:val="center"/>
    </w:pPr>
    <w:r>
      <w:rPr>
        <w:rFonts w:ascii="Calibri" w:eastAsia="Calibri" w:hAnsi="Calibri" w:cs="Calibri"/>
        <w:sz w:val="16"/>
      </w:rPr>
      <w:t xml:space="preserve">Audit documentaire — Gouvernement Akhannouch 2021–2026 </w:t>
    </w:r>
    <w:r>
      <w:rPr>
        <w:rFonts w:ascii="Calibri" w:eastAsia="Calibri" w:hAnsi="Calibri" w:cs="Calibri"/>
        <w:sz w:val="2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1961F" w14:textId="77777777" w:rsidR="00CD748F" w:rsidRDefault="00426F7E">
    <w:pPr>
      <w:spacing w:after="0" w:line="259" w:lineRule="auto"/>
      <w:ind w:left="0" w:right="3" w:firstLine="0"/>
      <w:jc w:val="center"/>
    </w:pPr>
    <w:r>
      <w:rPr>
        <w:rFonts w:ascii="Calibri" w:eastAsia="Calibri" w:hAnsi="Calibri" w:cs="Calibri"/>
        <w:sz w:val="16"/>
      </w:rPr>
      <w:t xml:space="preserve">Audit documentaire — Gouvernement Akhannouch 2021–2026 </w:t>
    </w:r>
    <w:r>
      <w:rPr>
        <w:rFonts w:ascii="Calibri" w:eastAsia="Calibri" w:hAnsi="Calibri" w:cs="Calibri"/>
        <w:sz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591FA" w14:textId="77777777" w:rsidR="00426F7E" w:rsidRDefault="00426F7E">
      <w:pPr>
        <w:spacing w:after="0" w:line="240" w:lineRule="auto"/>
      </w:pPr>
      <w:r>
        <w:separator/>
      </w:r>
    </w:p>
  </w:footnote>
  <w:footnote w:type="continuationSeparator" w:id="0">
    <w:p w14:paraId="51CE3065" w14:textId="77777777" w:rsidR="00426F7E" w:rsidRDefault="00426F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2662"/>
    <w:multiLevelType w:val="hybridMultilevel"/>
    <w:tmpl w:val="FFFFFFFF"/>
    <w:lvl w:ilvl="0" w:tplc="946C732C">
      <w:start w:val="18"/>
      <w:numFmt w:val="upperRoman"/>
      <w:lvlText w:val="%1."/>
      <w:lvlJc w:val="left"/>
      <w:pPr>
        <w:ind w:left="633"/>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1" w:tplc="BB62342E">
      <w:start w:val="1"/>
      <w:numFmt w:val="lowerLetter"/>
      <w:lvlText w:val="%2"/>
      <w:lvlJc w:val="left"/>
      <w:pPr>
        <w:ind w:left="10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2" w:tplc="2F9A96B2">
      <w:start w:val="1"/>
      <w:numFmt w:val="lowerRoman"/>
      <w:lvlText w:val="%3"/>
      <w:lvlJc w:val="left"/>
      <w:pPr>
        <w:ind w:left="18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3" w:tplc="BEC2886A">
      <w:start w:val="1"/>
      <w:numFmt w:val="decimal"/>
      <w:lvlText w:val="%4"/>
      <w:lvlJc w:val="left"/>
      <w:pPr>
        <w:ind w:left="25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4" w:tplc="E918014A">
      <w:start w:val="1"/>
      <w:numFmt w:val="lowerLetter"/>
      <w:lvlText w:val="%5"/>
      <w:lvlJc w:val="left"/>
      <w:pPr>
        <w:ind w:left="32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5" w:tplc="BACA49D4">
      <w:start w:val="1"/>
      <w:numFmt w:val="lowerRoman"/>
      <w:lvlText w:val="%6"/>
      <w:lvlJc w:val="left"/>
      <w:pPr>
        <w:ind w:left="39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6" w:tplc="B12A4872">
      <w:start w:val="1"/>
      <w:numFmt w:val="decimal"/>
      <w:lvlText w:val="%7"/>
      <w:lvlJc w:val="left"/>
      <w:pPr>
        <w:ind w:left="46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7" w:tplc="A8AA0786">
      <w:start w:val="1"/>
      <w:numFmt w:val="lowerLetter"/>
      <w:lvlText w:val="%8"/>
      <w:lvlJc w:val="left"/>
      <w:pPr>
        <w:ind w:left="54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8" w:tplc="E8EC5EDC">
      <w:start w:val="1"/>
      <w:numFmt w:val="lowerRoman"/>
      <w:lvlText w:val="%9"/>
      <w:lvlJc w:val="left"/>
      <w:pPr>
        <w:ind w:left="61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220842D5"/>
    <w:multiLevelType w:val="hybridMultilevel"/>
    <w:tmpl w:val="FFFFFFFF"/>
    <w:lvl w:ilvl="0" w:tplc="2EFCFAA0">
      <w:start w:val="1"/>
      <w:numFmt w:val="upperRoman"/>
      <w:lvlText w:val="%1."/>
      <w:lvlJc w:val="left"/>
      <w:pPr>
        <w:ind w:left="351"/>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1" w:tplc="77346A5A">
      <w:start w:val="1"/>
      <w:numFmt w:val="lowerLetter"/>
      <w:lvlText w:val="%2"/>
      <w:lvlJc w:val="left"/>
      <w:pPr>
        <w:ind w:left="10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2" w:tplc="7750AC52">
      <w:start w:val="1"/>
      <w:numFmt w:val="lowerRoman"/>
      <w:lvlText w:val="%3"/>
      <w:lvlJc w:val="left"/>
      <w:pPr>
        <w:ind w:left="18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3" w:tplc="6C509A84">
      <w:start w:val="1"/>
      <w:numFmt w:val="decimal"/>
      <w:lvlText w:val="%4"/>
      <w:lvlJc w:val="left"/>
      <w:pPr>
        <w:ind w:left="25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4" w:tplc="24FC63E2">
      <w:start w:val="1"/>
      <w:numFmt w:val="lowerLetter"/>
      <w:lvlText w:val="%5"/>
      <w:lvlJc w:val="left"/>
      <w:pPr>
        <w:ind w:left="32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5" w:tplc="52863900">
      <w:start w:val="1"/>
      <w:numFmt w:val="lowerRoman"/>
      <w:lvlText w:val="%6"/>
      <w:lvlJc w:val="left"/>
      <w:pPr>
        <w:ind w:left="39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6" w:tplc="2962DDB0">
      <w:start w:val="1"/>
      <w:numFmt w:val="decimal"/>
      <w:lvlText w:val="%7"/>
      <w:lvlJc w:val="left"/>
      <w:pPr>
        <w:ind w:left="46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7" w:tplc="26166AA2">
      <w:start w:val="1"/>
      <w:numFmt w:val="lowerLetter"/>
      <w:lvlText w:val="%8"/>
      <w:lvlJc w:val="left"/>
      <w:pPr>
        <w:ind w:left="54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8" w:tplc="4704EA00">
      <w:start w:val="1"/>
      <w:numFmt w:val="lowerRoman"/>
      <w:lvlText w:val="%9"/>
      <w:lvlJc w:val="left"/>
      <w:pPr>
        <w:ind w:left="61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2E9F407C"/>
    <w:multiLevelType w:val="hybridMultilevel"/>
    <w:tmpl w:val="FFFFFFFF"/>
    <w:lvl w:ilvl="0" w:tplc="1D6E474C">
      <w:start w:val="14"/>
      <w:numFmt w:val="upperRoman"/>
      <w:lvlText w:val="%1."/>
      <w:lvlJc w:val="left"/>
      <w:pPr>
        <w:ind w:left="495"/>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1" w:tplc="B05EB914">
      <w:start w:val="1"/>
      <w:numFmt w:val="lowerLetter"/>
      <w:lvlText w:val="%2"/>
      <w:lvlJc w:val="left"/>
      <w:pPr>
        <w:ind w:left="10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2" w:tplc="B8506D74">
      <w:start w:val="1"/>
      <w:numFmt w:val="lowerRoman"/>
      <w:lvlText w:val="%3"/>
      <w:lvlJc w:val="left"/>
      <w:pPr>
        <w:ind w:left="18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3" w:tplc="62D624FA">
      <w:start w:val="1"/>
      <w:numFmt w:val="decimal"/>
      <w:lvlText w:val="%4"/>
      <w:lvlJc w:val="left"/>
      <w:pPr>
        <w:ind w:left="25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4" w:tplc="F940C80E">
      <w:start w:val="1"/>
      <w:numFmt w:val="lowerLetter"/>
      <w:lvlText w:val="%5"/>
      <w:lvlJc w:val="left"/>
      <w:pPr>
        <w:ind w:left="32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5" w:tplc="51A0C514">
      <w:start w:val="1"/>
      <w:numFmt w:val="lowerRoman"/>
      <w:lvlText w:val="%6"/>
      <w:lvlJc w:val="left"/>
      <w:pPr>
        <w:ind w:left="39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6" w:tplc="2D847314">
      <w:start w:val="1"/>
      <w:numFmt w:val="decimal"/>
      <w:lvlText w:val="%7"/>
      <w:lvlJc w:val="left"/>
      <w:pPr>
        <w:ind w:left="46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7" w:tplc="55D65556">
      <w:start w:val="1"/>
      <w:numFmt w:val="lowerLetter"/>
      <w:lvlText w:val="%8"/>
      <w:lvlJc w:val="left"/>
      <w:pPr>
        <w:ind w:left="54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8" w:tplc="34ECA7EA">
      <w:start w:val="1"/>
      <w:numFmt w:val="lowerRoman"/>
      <w:lvlText w:val="%9"/>
      <w:lvlJc w:val="left"/>
      <w:pPr>
        <w:ind w:left="61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30A72D52"/>
    <w:multiLevelType w:val="hybridMultilevel"/>
    <w:tmpl w:val="FFFFFFFF"/>
    <w:lvl w:ilvl="0" w:tplc="BAD617EC">
      <w:start w:val="26"/>
      <w:numFmt w:val="upperRoman"/>
      <w:lvlText w:val="%1."/>
      <w:lvlJc w:val="left"/>
      <w:pPr>
        <w:ind w:left="777"/>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1" w:tplc="0D280E02">
      <w:start w:val="1"/>
      <w:numFmt w:val="lowerLetter"/>
      <w:lvlText w:val="%2"/>
      <w:lvlJc w:val="left"/>
      <w:pPr>
        <w:ind w:left="10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2" w:tplc="A600C0DA">
      <w:start w:val="1"/>
      <w:numFmt w:val="lowerRoman"/>
      <w:lvlText w:val="%3"/>
      <w:lvlJc w:val="left"/>
      <w:pPr>
        <w:ind w:left="18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3" w:tplc="E1F89582">
      <w:start w:val="1"/>
      <w:numFmt w:val="decimal"/>
      <w:lvlText w:val="%4"/>
      <w:lvlJc w:val="left"/>
      <w:pPr>
        <w:ind w:left="25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4" w:tplc="44CA8C56">
      <w:start w:val="1"/>
      <w:numFmt w:val="lowerLetter"/>
      <w:lvlText w:val="%5"/>
      <w:lvlJc w:val="left"/>
      <w:pPr>
        <w:ind w:left="32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5" w:tplc="3F809D28">
      <w:start w:val="1"/>
      <w:numFmt w:val="lowerRoman"/>
      <w:lvlText w:val="%6"/>
      <w:lvlJc w:val="left"/>
      <w:pPr>
        <w:ind w:left="39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6" w:tplc="A0A453FE">
      <w:start w:val="1"/>
      <w:numFmt w:val="decimal"/>
      <w:lvlText w:val="%7"/>
      <w:lvlJc w:val="left"/>
      <w:pPr>
        <w:ind w:left="46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7" w:tplc="C818DE98">
      <w:start w:val="1"/>
      <w:numFmt w:val="lowerLetter"/>
      <w:lvlText w:val="%8"/>
      <w:lvlJc w:val="left"/>
      <w:pPr>
        <w:ind w:left="54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8" w:tplc="04CECDE8">
      <w:start w:val="1"/>
      <w:numFmt w:val="lowerRoman"/>
      <w:lvlText w:val="%9"/>
      <w:lvlJc w:val="left"/>
      <w:pPr>
        <w:ind w:left="61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532625CE"/>
    <w:multiLevelType w:val="hybridMultilevel"/>
    <w:tmpl w:val="FFFFFFFF"/>
    <w:lvl w:ilvl="0" w:tplc="32F2BE14">
      <w:start w:val="22"/>
      <w:numFmt w:val="upperRoman"/>
      <w:lvlText w:val="%1."/>
      <w:lvlJc w:val="left"/>
      <w:pPr>
        <w:ind w:left="554"/>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1" w:tplc="8C68E0FC">
      <w:start w:val="1"/>
      <w:numFmt w:val="lowerLetter"/>
      <w:lvlText w:val="%2"/>
      <w:lvlJc w:val="left"/>
      <w:pPr>
        <w:ind w:left="10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2" w:tplc="D2C43C64">
      <w:start w:val="1"/>
      <w:numFmt w:val="lowerRoman"/>
      <w:lvlText w:val="%3"/>
      <w:lvlJc w:val="left"/>
      <w:pPr>
        <w:ind w:left="18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3" w:tplc="57B4FA14">
      <w:start w:val="1"/>
      <w:numFmt w:val="decimal"/>
      <w:lvlText w:val="%4"/>
      <w:lvlJc w:val="left"/>
      <w:pPr>
        <w:ind w:left="25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4" w:tplc="780CEA48">
      <w:start w:val="1"/>
      <w:numFmt w:val="lowerLetter"/>
      <w:lvlText w:val="%5"/>
      <w:lvlJc w:val="left"/>
      <w:pPr>
        <w:ind w:left="32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5" w:tplc="6E90E192">
      <w:start w:val="1"/>
      <w:numFmt w:val="lowerRoman"/>
      <w:lvlText w:val="%6"/>
      <w:lvlJc w:val="left"/>
      <w:pPr>
        <w:ind w:left="39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6" w:tplc="5BD69EA8">
      <w:start w:val="1"/>
      <w:numFmt w:val="decimal"/>
      <w:lvlText w:val="%7"/>
      <w:lvlJc w:val="left"/>
      <w:pPr>
        <w:ind w:left="46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7" w:tplc="2D9C033C">
      <w:start w:val="1"/>
      <w:numFmt w:val="lowerLetter"/>
      <w:lvlText w:val="%8"/>
      <w:lvlJc w:val="left"/>
      <w:pPr>
        <w:ind w:left="54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8" w:tplc="4CC23A3E">
      <w:start w:val="1"/>
      <w:numFmt w:val="lowerRoman"/>
      <w:lvlText w:val="%9"/>
      <w:lvlJc w:val="left"/>
      <w:pPr>
        <w:ind w:left="61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5B174FB8"/>
    <w:multiLevelType w:val="hybridMultilevel"/>
    <w:tmpl w:val="FFFFFFFF"/>
    <w:lvl w:ilvl="0" w:tplc="132E306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D58AF1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C08A8B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CAE752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70160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BB665D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AAA72F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92032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7B62CE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7A331A9"/>
    <w:multiLevelType w:val="hybridMultilevel"/>
    <w:tmpl w:val="FFFFFFFF"/>
    <w:lvl w:ilvl="0" w:tplc="DB561DB8">
      <w:start w:val="9"/>
      <w:numFmt w:val="upperRoman"/>
      <w:lvlText w:val="%1."/>
      <w:lvlJc w:val="left"/>
      <w:pPr>
        <w:ind w:left="341"/>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1" w:tplc="9CCA66D6">
      <w:start w:val="1"/>
      <w:numFmt w:val="lowerLetter"/>
      <w:lvlText w:val="%2"/>
      <w:lvlJc w:val="left"/>
      <w:pPr>
        <w:ind w:left="10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2" w:tplc="9B14EABA">
      <w:start w:val="1"/>
      <w:numFmt w:val="lowerRoman"/>
      <w:lvlText w:val="%3"/>
      <w:lvlJc w:val="left"/>
      <w:pPr>
        <w:ind w:left="18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3" w:tplc="676E662C">
      <w:start w:val="1"/>
      <w:numFmt w:val="decimal"/>
      <w:lvlText w:val="%4"/>
      <w:lvlJc w:val="left"/>
      <w:pPr>
        <w:ind w:left="25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4" w:tplc="04EC3456">
      <w:start w:val="1"/>
      <w:numFmt w:val="lowerLetter"/>
      <w:lvlText w:val="%5"/>
      <w:lvlJc w:val="left"/>
      <w:pPr>
        <w:ind w:left="324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5" w:tplc="0D665D28">
      <w:start w:val="1"/>
      <w:numFmt w:val="lowerRoman"/>
      <w:lvlText w:val="%6"/>
      <w:lvlJc w:val="left"/>
      <w:pPr>
        <w:ind w:left="396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6" w:tplc="501A4402">
      <w:start w:val="1"/>
      <w:numFmt w:val="decimal"/>
      <w:lvlText w:val="%7"/>
      <w:lvlJc w:val="left"/>
      <w:pPr>
        <w:ind w:left="468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7" w:tplc="59D0D23C">
      <w:start w:val="1"/>
      <w:numFmt w:val="lowerLetter"/>
      <w:lvlText w:val="%8"/>
      <w:lvlJc w:val="left"/>
      <w:pPr>
        <w:ind w:left="540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lvl w:ilvl="8" w:tplc="030A1604">
      <w:start w:val="1"/>
      <w:numFmt w:val="lowerRoman"/>
      <w:lvlText w:val="%9"/>
      <w:lvlJc w:val="left"/>
      <w:pPr>
        <w:ind w:left="6120"/>
      </w:pPr>
      <w:rPr>
        <w:rFonts w:ascii="Calibri" w:eastAsia="Calibri" w:hAnsi="Calibri" w:cs="Calibri"/>
        <w:b/>
        <w:bCs/>
        <w:i w:val="0"/>
        <w:strike w:val="0"/>
        <w:dstrike w:val="0"/>
        <w:color w:val="000000"/>
        <w:sz w:val="26"/>
        <w:szCs w:val="26"/>
        <w:u w:val="none" w:color="000000"/>
        <w:bdr w:val="none" w:sz="0" w:space="0" w:color="auto"/>
        <w:shd w:val="clear" w:color="auto" w:fill="auto"/>
        <w:vertAlign w:val="baseline"/>
      </w:rPr>
    </w:lvl>
  </w:abstractNum>
  <w:num w:numId="1" w16cid:durableId="2114590503">
    <w:abstractNumId w:val="1"/>
  </w:num>
  <w:num w:numId="2" w16cid:durableId="869999974">
    <w:abstractNumId w:val="6"/>
  </w:num>
  <w:num w:numId="3" w16cid:durableId="905729155">
    <w:abstractNumId w:val="2"/>
  </w:num>
  <w:num w:numId="4" w16cid:durableId="1822505128">
    <w:abstractNumId w:val="0"/>
  </w:num>
  <w:num w:numId="5" w16cid:durableId="125978387">
    <w:abstractNumId w:val="4"/>
  </w:num>
  <w:num w:numId="6" w16cid:durableId="542404248">
    <w:abstractNumId w:val="3"/>
  </w:num>
  <w:num w:numId="7" w16cid:durableId="17999088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2"/>
  <w:revisionView w:inkAnnotation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48F"/>
    <w:rsid w:val="001E2F54"/>
    <w:rsid w:val="00426F7E"/>
    <w:rsid w:val="00CD748F"/>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decimalSymbol w:val=","/>
  <w:listSeparator w:val=";"/>
  <w14:docId w14:val="1975D87F"/>
  <w15:docId w15:val="{8A7EAA1A-1F03-8449-A23E-0267ECC61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BE"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6" w:line="269" w:lineRule="auto"/>
      <w:ind w:left="10" w:right="5" w:hanging="10"/>
      <w:jc w:val="both"/>
    </w:pPr>
    <w:rPr>
      <w:rFonts w:ascii="Cambria" w:eastAsia="Cambria" w:hAnsi="Cambria" w:cs="Times New Roman"/>
      <w:color w:val="000000"/>
      <w:lang w:val="fr" w:eastAsia="fr"/>
    </w:rPr>
  </w:style>
  <w:style w:type="paragraph" w:styleId="Titre1">
    <w:name w:val="heading 1"/>
    <w:next w:val="Normal"/>
    <w:link w:val="Titre1Car"/>
    <w:uiPriority w:val="9"/>
    <w:qFormat/>
    <w:pPr>
      <w:keepNext/>
      <w:keepLines/>
      <w:spacing w:after="0" w:line="259" w:lineRule="auto"/>
      <w:ind w:left="10" w:right="4" w:hanging="10"/>
      <w:jc w:val="center"/>
      <w:outlineLvl w:val="0"/>
    </w:pPr>
    <w:rPr>
      <w:rFonts w:ascii="Cambria" w:eastAsia="Cambria" w:hAnsi="Cambria" w:cs="Cambria"/>
      <w:b/>
      <w:color w:val="000000"/>
      <w:sz w:val="40"/>
    </w:rPr>
  </w:style>
  <w:style w:type="paragraph" w:styleId="Titre2">
    <w:name w:val="heading 2"/>
    <w:next w:val="Normal"/>
    <w:link w:val="Titre2Car"/>
    <w:uiPriority w:val="9"/>
    <w:unhideWhenUsed/>
    <w:qFormat/>
    <w:pPr>
      <w:keepNext/>
      <w:keepLines/>
      <w:spacing w:after="14" w:line="267" w:lineRule="auto"/>
      <w:ind w:left="10" w:hanging="10"/>
      <w:outlineLvl w:val="1"/>
    </w:pPr>
    <w:rPr>
      <w:rFonts w:ascii="Cambria" w:eastAsia="Cambria" w:hAnsi="Cambria" w:cs="Cambria"/>
      <w:b/>
      <w:color w:val="163A5F"/>
      <w:sz w:val="40"/>
    </w:rPr>
  </w:style>
  <w:style w:type="paragraph" w:styleId="Titre3">
    <w:name w:val="heading 3"/>
    <w:next w:val="Normal"/>
    <w:link w:val="Titre3Car"/>
    <w:uiPriority w:val="9"/>
    <w:unhideWhenUsed/>
    <w:qFormat/>
    <w:pPr>
      <w:keepNext/>
      <w:keepLines/>
      <w:spacing w:after="67" w:line="259" w:lineRule="auto"/>
      <w:ind w:left="10" w:hanging="10"/>
      <w:outlineLvl w:val="2"/>
    </w:pPr>
    <w:rPr>
      <w:rFonts w:ascii="Cambria" w:eastAsia="Cambria" w:hAnsi="Cambria" w:cs="Cambria"/>
      <w:b/>
      <w:color w:val="245B7A"/>
      <w:sz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mbria" w:eastAsia="Cambria" w:hAnsi="Cambria" w:cs="Cambria"/>
      <w:b/>
      <w:color w:val="000000"/>
      <w:sz w:val="40"/>
    </w:rPr>
  </w:style>
  <w:style w:type="character" w:customStyle="1" w:styleId="Titre3Car">
    <w:name w:val="Titre 3 Car"/>
    <w:link w:val="Titre3"/>
    <w:rPr>
      <w:rFonts w:ascii="Cambria" w:eastAsia="Cambria" w:hAnsi="Cambria" w:cs="Cambria"/>
      <w:b/>
      <w:color w:val="245B7A"/>
      <w:sz w:val="32"/>
    </w:rPr>
  </w:style>
  <w:style w:type="character" w:customStyle="1" w:styleId="Titre2Car">
    <w:name w:val="Titre 2 Car"/>
    <w:link w:val="Titre2"/>
    <w:rPr>
      <w:rFonts w:ascii="Cambria" w:eastAsia="Cambria" w:hAnsi="Cambria" w:cs="Cambria"/>
      <w:b/>
      <w:color w:val="163A5F"/>
      <w:sz w:val="4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3.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11493</Words>
  <Characters>63216</Characters>
  <Application>Microsoft Office Word</Application>
  <DocSecurity>0</DocSecurity>
  <Lines>526</Lines>
  <Paragraphs>149</Paragraphs>
  <ScaleCrop>false</ScaleCrop>
  <Company/>
  <LinksUpToDate>false</LinksUpToDate>
  <CharactersWithSpaces>74560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ALY BAKKALI TAHIRI</cp:lastModifiedBy>
  <cp:revision>2</cp:revision>
  <dcterms:created xsi:type="dcterms:W3CDTF">2026-10-09T12:05:00Z</dcterms:created>
  <dcterms:modified xsi:type="dcterms:W3CDTF">2026-10-09T12:05:00Z</dcterms:modified>
</cp:coreProperties>
</file>